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4E753F6C" w:rsidR="00AC26A9" w:rsidRPr="000E0068"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0E0068">
        <w:rPr>
          <w:rFonts w:ascii="Arial" w:eastAsia="맑은 고딕" w:hAnsi="Arial" w:hint="eastAsia"/>
          <w:b/>
          <w:sz w:val="24"/>
          <w:szCs w:val="24"/>
          <w:lang w:eastAsia="ko-KR"/>
        </w:rPr>
        <w:t>4</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AB09C8" w:rsidRPr="00AB09C8">
        <w:rPr>
          <w:rFonts w:ascii="Arial" w:hAnsi="Arial"/>
          <w:b/>
          <w:sz w:val="24"/>
          <w:szCs w:val="24"/>
        </w:rPr>
        <w:t>2601096</w:t>
      </w:r>
    </w:p>
    <w:p w14:paraId="4A83D821" w14:textId="0483C741" w:rsidR="00AC26A9" w:rsidRPr="003A74B1" w:rsidRDefault="000E0068" w:rsidP="00AC26A9">
      <w:pPr>
        <w:widowControl w:val="0"/>
        <w:spacing w:after="0"/>
        <w:rPr>
          <w:rFonts w:ascii="Arial" w:hAnsi="Arial"/>
          <w:b/>
          <w:sz w:val="24"/>
          <w:szCs w:val="24"/>
          <w:lang w:val="en-US"/>
        </w:rPr>
      </w:pPr>
      <w:r w:rsidRPr="000E0068">
        <w:rPr>
          <w:rFonts w:ascii="Arial" w:hAnsi="Arial"/>
          <w:b/>
          <w:bCs/>
          <w:sz w:val="24"/>
          <w:szCs w:val="24"/>
          <w:lang w:val="de-DE"/>
        </w:rPr>
        <w:t>Gothenburg, Sweden, Feb. 9th – 13th, 2026</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proofErr w:type="spellStart"/>
      <w:r w:rsidR="000B4853">
        <w:rPr>
          <w:rFonts w:ascii="Arial" w:hAnsi="Arial" w:cs="Arial"/>
          <w:b/>
          <w:sz w:val="24"/>
          <w:szCs w:val="24"/>
          <w:lang w:val="en-US"/>
        </w:rPr>
        <w:t>Ofinno</w:t>
      </w:r>
      <w:proofErr w:type="spellEnd"/>
    </w:p>
    <w:p w14:paraId="1ACA0131" w14:textId="55A4E3C6" w:rsidR="00011641" w:rsidRPr="000E0068"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A04FD">
        <w:rPr>
          <w:rFonts w:ascii="Arial" w:eastAsia="맑은 고딕" w:hAnsi="Arial" w:cs="Arial" w:hint="eastAsia"/>
          <w:b/>
          <w:sz w:val="24"/>
          <w:szCs w:val="24"/>
          <w:lang w:eastAsia="ko-KR"/>
        </w:rPr>
        <w:t>Discussion</w:t>
      </w:r>
      <w:r w:rsidR="000E0068">
        <w:rPr>
          <w:rFonts w:ascii="Arial" w:eastAsia="맑은 고딕" w:hAnsi="Arial" w:cs="Arial" w:hint="eastAsia"/>
          <w:b/>
          <w:sz w:val="24"/>
          <w:szCs w:val="24"/>
          <w:lang w:eastAsia="ko-KR"/>
        </w:rPr>
        <w:t xml:space="preserve"> on aspects of uplink-based CSI acquisition</w:t>
      </w:r>
    </w:p>
    <w:p w14:paraId="529C67FA" w14:textId="7E80A7A7" w:rsidR="00011641" w:rsidRPr="000E006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0E0068">
        <w:rPr>
          <w:rFonts w:ascii="Arial" w:eastAsia="맑은 고딕" w:hAnsi="Arial" w:cs="Arial" w:hint="eastAsia"/>
          <w:b/>
          <w:sz w:val="24"/>
          <w:szCs w:val="24"/>
          <w:lang w:eastAsia="ko-KR"/>
        </w:rPr>
        <w:t>10.5.3.2</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4C45CB0A" w14:textId="01FB634D" w:rsidR="00947966" w:rsidRDefault="00947966" w:rsidP="00947966">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During RAN#108, a new study item on 6G radio (6GR) was approved [1]. This contribution discusses our view on uplink-based CSI acquisition as related to the SID objective:</w:t>
      </w:r>
    </w:p>
    <w:tbl>
      <w:tblPr>
        <w:tblStyle w:val="TableGrid"/>
        <w:tblW w:w="0" w:type="auto"/>
        <w:tblLook w:val="04A0" w:firstRow="1" w:lastRow="0" w:firstColumn="1" w:lastColumn="0" w:noHBand="0" w:noVBand="1"/>
      </w:tblPr>
      <w:tblGrid>
        <w:gridCol w:w="9962"/>
      </w:tblGrid>
      <w:tr w:rsidR="00947966" w14:paraId="60D1ED7C" w14:textId="77777777" w:rsidTr="00947966">
        <w:tc>
          <w:tcPr>
            <w:tcW w:w="9962" w:type="dxa"/>
          </w:tcPr>
          <w:p w14:paraId="61732DEC" w14:textId="77777777" w:rsidR="00947966" w:rsidRPr="00947966" w:rsidRDefault="00947966" w:rsidP="00947966">
            <w:pPr>
              <w:widowControl w:val="0"/>
              <w:numPr>
                <w:ilvl w:val="0"/>
                <w:numId w:val="33"/>
              </w:numPr>
              <w:wordWrap w:val="0"/>
              <w:overflowPunct/>
              <w:adjustRightInd/>
              <w:spacing w:after="16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Physical Layer structure for 6GR, </w:t>
            </w:r>
          </w:p>
          <w:p w14:paraId="1AB59945"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Waveforms (OFDM-based) and modulations. 5G NR Waveforms and modulation should be considered for 6GR and is also the benchmark for other potential proposals. [RAN1, RAN4]</w:t>
            </w:r>
          </w:p>
          <w:p w14:paraId="43C59A13"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Frame structure, including compatibility with 5G NR to allow for efficient 5G-6G Multi-RAT Spectrum Sharing (MRSS). [RAN1]</w:t>
            </w:r>
          </w:p>
          <w:p w14:paraId="0EB4929D"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Channel coding, using LDPC and Polar Code as baseline, considering applicable extensions to satisfy 6G requirements and characteristics with acceptable performance/complexity trade-off [RAN1]</w:t>
            </w:r>
          </w:p>
          <w:p w14:paraId="40693DFE"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Channel Bandwidth (at least minimum and maximum), Numerology, avoiding multiple numerologies for the same band / sub-range (e.g., enabling synergies among frequency bands in the ~7GHz range)</w:t>
            </w:r>
            <w:r w:rsidRPr="00947966">
              <w:rPr>
                <w:rFonts w:eastAsia="MS Mincho"/>
                <w:color w:val="000000"/>
                <w:kern w:val="2"/>
                <w:sz w:val="22"/>
                <w:lang w:eastAsia="ja-JP"/>
                <w14:ligatures w14:val="standardContextual"/>
              </w:rPr>
              <w:t xml:space="preserve"> </w:t>
            </w:r>
            <w:r w:rsidRPr="00947966">
              <w:rPr>
                <w:rFonts w:eastAsia="MS Mincho"/>
                <w:color w:val="000000"/>
                <w:kern w:val="2"/>
                <w:sz w:val="22"/>
                <w:lang w:eastAsia="en-GB"/>
                <w14:ligatures w14:val="standardContextual"/>
              </w:rPr>
              <w:t>[RAN1, RAN4]</w:t>
            </w:r>
          </w:p>
          <w:p w14:paraId="207C1284"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Physical layer control, data scheduling and HARQ operation [RAN1, RAN2]</w:t>
            </w:r>
          </w:p>
          <w:p w14:paraId="52DF123E"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MIMO operation [RAN1, RAN4]</w:t>
            </w:r>
          </w:p>
          <w:p w14:paraId="52CBA884"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Duplexing [RAN1, RAN4] </w:t>
            </w:r>
          </w:p>
          <w:p w14:paraId="6A0CC18B"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Initial access [RAN1, RAN2, RAN4]</w:t>
            </w:r>
          </w:p>
          <w:p w14:paraId="0669D96D" w14:textId="77777777" w:rsidR="00947966" w:rsidRPr="00947966" w:rsidRDefault="00947966" w:rsidP="00947966">
            <w:pPr>
              <w:widowControl w:val="0"/>
              <w:numPr>
                <w:ilvl w:val="2"/>
                <w:numId w:val="35"/>
              </w:numPr>
              <w:wordWrap w:val="0"/>
              <w:overflowPunct/>
              <w:adjustRightInd/>
              <w:spacing w:after="0"/>
              <w:ind w:left="1843" w:hanging="288"/>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Studies on synchronization signal and raster, broadcast signals/channel and physical </w:t>
            </w:r>
            <w:proofErr w:type="gramStart"/>
            <w:r w:rsidRPr="00947966">
              <w:rPr>
                <w:rFonts w:eastAsia="MS Mincho"/>
                <w:color w:val="000000"/>
                <w:kern w:val="2"/>
                <w:sz w:val="22"/>
                <w:lang w:eastAsia="en-GB"/>
                <w14:ligatures w14:val="standardContextual"/>
              </w:rPr>
              <w:t>random access</w:t>
            </w:r>
            <w:proofErr w:type="gramEnd"/>
            <w:r w:rsidRPr="00947966">
              <w:rPr>
                <w:rFonts w:eastAsia="MS Mincho"/>
                <w:color w:val="000000"/>
                <w:kern w:val="2"/>
                <w:sz w:val="22"/>
                <w:lang w:eastAsia="en-GB"/>
                <w14:ligatures w14:val="standardContextual"/>
              </w:rPr>
              <w:t xml:space="preserve"> channel [RAN1, RAN4]</w:t>
            </w:r>
          </w:p>
          <w:p w14:paraId="25C6DB9A" w14:textId="77777777" w:rsidR="00947966" w:rsidRPr="00947966" w:rsidRDefault="00947966" w:rsidP="00947966">
            <w:pPr>
              <w:widowControl w:val="0"/>
              <w:numPr>
                <w:ilvl w:val="2"/>
                <w:numId w:val="35"/>
              </w:numPr>
              <w:wordWrap w:val="0"/>
              <w:overflowPunct/>
              <w:adjustRightInd/>
              <w:spacing w:after="0"/>
              <w:ind w:left="1843" w:hanging="288"/>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Studies on initial access procedure, random access procedures, system information and paging [RAN2, RAN1, RAN4]   </w:t>
            </w:r>
          </w:p>
          <w:p w14:paraId="58E374D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6GR spectrum utilization and aggregation.  [RAN1, RAN2, RAN4]</w:t>
            </w:r>
          </w:p>
          <w:p w14:paraId="29064A6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Other physical layer signals, channels and procedures [RAN1, RAN2, RAN4]</w:t>
            </w:r>
          </w:p>
          <w:p w14:paraId="71611347" w14:textId="77777777" w:rsidR="00947966" w:rsidRPr="00947966" w:rsidRDefault="00947966" w:rsidP="00947966">
            <w:pPr>
              <w:widowControl w:val="0"/>
              <w:numPr>
                <w:ilvl w:val="1"/>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Evaluate performance of at least energy efficiency, spectrum efficiency, and coverage compared to 5G NR, and deliver the initial result at the end of study [RAN</w:t>
            </w:r>
            <w:r w:rsidRPr="00947966">
              <w:rPr>
                <w:rFonts w:eastAsia="MS Mincho"/>
                <w:color w:val="000000"/>
                <w:kern w:val="2"/>
                <w:sz w:val="22"/>
                <w:lang w:eastAsia="ja-JP"/>
                <w14:ligatures w14:val="standardContextual"/>
              </w:rPr>
              <w:t>1</w:t>
            </w:r>
            <w:r w:rsidRPr="00947966">
              <w:rPr>
                <w:rFonts w:eastAsia="MS Mincho"/>
                <w:color w:val="000000"/>
                <w:kern w:val="2"/>
                <w:sz w:val="22"/>
                <w:lang w:eastAsia="en-GB"/>
                <w14:ligatures w14:val="standardContextual"/>
              </w:rPr>
              <w:t>].</w:t>
            </w:r>
          </w:p>
          <w:p w14:paraId="342D7E09" w14:textId="77777777" w:rsidR="00947966" w:rsidRPr="00947966" w:rsidRDefault="00947966" w:rsidP="00947966">
            <w:pPr>
              <w:widowControl w:val="0"/>
              <w:numPr>
                <w:ilvl w:val="2"/>
                <w:numId w:val="34"/>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ja-JP"/>
                <w14:ligatures w14:val="standardContextual"/>
              </w:rPr>
              <w:t>RAN4 can be involved, if necessary, based on the LS from RAN1</w:t>
            </w:r>
          </w:p>
          <w:p w14:paraId="19AD4E4C" w14:textId="77777777" w:rsidR="00947966" w:rsidRDefault="00947966" w:rsidP="00947966">
            <w:pPr>
              <w:spacing w:after="0" w:line="276" w:lineRule="auto"/>
              <w:jc w:val="both"/>
              <w:rPr>
                <w:rFonts w:eastAsia="맑은 고딕"/>
                <w:sz w:val="22"/>
                <w:szCs w:val="22"/>
                <w:lang w:eastAsia="ko-KR"/>
              </w:rPr>
            </w:pPr>
          </w:p>
          <w:p w14:paraId="492CD60B" w14:textId="77777777" w:rsidR="00947966" w:rsidRPr="00947966" w:rsidRDefault="00947966" w:rsidP="00947966">
            <w:pPr>
              <w:widowControl w:val="0"/>
              <w:numPr>
                <w:ilvl w:val="0"/>
                <w:numId w:val="33"/>
              </w:numPr>
              <w:wordWrap w:val="0"/>
              <w:overflowPunct/>
              <w:adjustRightInd/>
              <w:spacing w:after="16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AI/ML for 6GR and Radio Access Network, leveraging 5G AI/ML framework, as appropriate [See TR38.843] [RAN1, RAN2, RAN3, RAN4]</w:t>
            </w:r>
          </w:p>
          <w:p w14:paraId="581C2CFA" w14:textId="77777777" w:rsidR="00947966" w:rsidRPr="00947966" w:rsidRDefault="00947966" w:rsidP="00947966">
            <w:pPr>
              <w:widowControl w:val="0"/>
              <w:numPr>
                <w:ilvl w:val="0"/>
                <w:numId w:val="36"/>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 xml:space="preserve">Identify Use Case(s) of interest (either existing or new) with compelling trade-off between e.g., performance, complexity, etc… </w:t>
            </w:r>
            <w:r w:rsidRPr="00947966">
              <w:rPr>
                <w:rFonts w:eastAsia="MS Mincho"/>
                <w:color w:val="000000"/>
                <w:kern w:val="2"/>
                <w:sz w:val="22"/>
                <w:lang w:eastAsia="en-GB"/>
                <w14:ligatures w14:val="standardContextual"/>
              </w:rPr>
              <w:br/>
              <w:t>Coordinated discussion needs to be ensured with related design areas, where needed (e.g., MIMO, Mobility, etc…)</w:t>
            </w:r>
          </w:p>
          <w:p w14:paraId="4BF64983" w14:textId="77777777" w:rsidR="00947966" w:rsidRPr="00947966" w:rsidRDefault="00947966" w:rsidP="00920923">
            <w:pPr>
              <w:spacing w:after="0"/>
              <w:ind w:left="720" w:firstLine="720"/>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NOTE: lead WG depends on the use case.</w:t>
            </w:r>
          </w:p>
          <w:p w14:paraId="426F0680" w14:textId="77777777" w:rsidR="00947966" w:rsidRPr="00947966" w:rsidRDefault="00947966" w:rsidP="00947966">
            <w:pPr>
              <w:widowControl w:val="0"/>
              <w:numPr>
                <w:ilvl w:val="0"/>
                <w:numId w:val="36"/>
              </w:numPr>
              <w:wordWrap w:val="0"/>
              <w:overflowPunct/>
              <w:adjustRightInd/>
              <w:spacing w:after="0"/>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AI/ML framework: Extensible AI/ML enablers based on the identified Use Case(s), including</w:t>
            </w:r>
          </w:p>
          <w:p w14:paraId="38592328" w14:textId="77777777" w:rsidR="00947966" w:rsidRPr="00947966" w:rsidRDefault="00947966" w:rsidP="00947966">
            <w:pPr>
              <w:widowControl w:val="0"/>
              <w:numPr>
                <w:ilvl w:val="1"/>
                <w:numId w:val="37"/>
              </w:numPr>
              <w:wordWrap w:val="0"/>
              <w:overflowPunct/>
              <w:adjustRightInd/>
              <w:spacing w:after="0"/>
              <w:ind w:left="1985" w:hanging="185"/>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LCM procedures [RAN</w:t>
            </w:r>
            <w:r w:rsidRPr="00947966">
              <w:rPr>
                <w:rFonts w:eastAsia="MS Mincho"/>
                <w:color w:val="000000"/>
                <w:kern w:val="2"/>
                <w:sz w:val="22"/>
                <w:lang w:eastAsia="ja-JP"/>
                <w14:ligatures w14:val="standardContextual"/>
              </w:rPr>
              <w:t>2</w:t>
            </w:r>
            <w:r w:rsidRPr="00947966">
              <w:rPr>
                <w:rFonts w:eastAsia="MS Mincho"/>
                <w:color w:val="000000"/>
                <w:kern w:val="2"/>
                <w:sz w:val="22"/>
                <w:lang w:eastAsia="en-GB"/>
                <w14:ligatures w14:val="standardContextual"/>
              </w:rPr>
              <w:t>, RAN</w:t>
            </w:r>
            <w:r w:rsidRPr="00947966">
              <w:rPr>
                <w:rFonts w:eastAsia="MS Mincho"/>
                <w:color w:val="000000"/>
                <w:kern w:val="2"/>
                <w:sz w:val="22"/>
                <w:lang w:eastAsia="ja-JP"/>
                <w14:ligatures w14:val="standardContextual"/>
              </w:rPr>
              <w:t>1</w:t>
            </w:r>
            <w:r w:rsidRPr="00947966">
              <w:rPr>
                <w:rFonts w:eastAsia="MS Mincho"/>
                <w:color w:val="000000"/>
                <w:kern w:val="2"/>
                <w:sz w:val="22"/>
                <w:lang w:eastAsia="en-GB"/>
                <w14:ligatures w14:val="standardContextual"/>
              </w:rPr>
              <w:t>, RAN3, RAN4]</w:t>
            </w:r>
          </w:p>
          <w:p w14:paraId="4EA69A62" w14:textId="77777777" w:rsidR="00947966" w:rsidRPr="00947966" w:rsidRDefault="00947966" w:rsidP="00947966">
            <w:pPr>
              <w:widowControl w:val="0"/>
              <w:numPr>
                <w:ilvl w:val="1"/>
                <w:numId w:val="37"/>
              </w:numPr>
              <w:wordWrap w:val="0"/>
              <w:overflowPunct/>
              <w:adjustRightInd/>
              <w:spacing w:after="0"/>
              <w:ind w:left="1985" w:hanging="185"/>
              <w:contextualSpacing/>
              <w:textAlignment w:val="auto"/>
              <w:rPr>
                <w:rFonts w:eastAsia="MS Mincho"/>
                <w:color w:val="000000"/>
                <w:kern w:val="2"/>
                <w:sz w:val="22"/>
                <w:lang w:eastAsia="en-GB"/>
                <w14:ligatures w14:val="standardContextual"/>
              </w:rPr>
            </w:pPr>
            <w:r w:rsidRPr="00947966">
              <w:rPr>
                <w:rFonts w:eastAsia="MS Mincho"/>
                <w:color w:val="000000"/>
                <w:kern w:val="2"/>
                <w:sz w:val="22"/>
                <w:lang w:eastAsia="en-GB"/>
                <w14:ligatures w14:val="standardContextual"/>
              </w:rPr>
              <w:t>Data collection and data management, in coordination with SA WGs</w:t>
            </w:r>
            <w:r w:rsidRPr="00947966">
              <w:rPr>
                <w:rFonts w:eastAsia="MS Mincho"/>
                <w:color w:val="000000"/>
                <w:kern w:val="2"/>
                <w:sz w:val="22"/>
                <w:lang w:eastAsia="ja-JP"/>
                <w14:ligatures w14:val="standardContextual"/>
              </w:rPr>
              <w:t xml:space="preserve"> </w:t>
            </w:r>
            <w:r w:rsidRPr="00947966">
              <w:rPr>
                <w:rFonts w:eastAsia="MS Mincho"/>
                <w:color w:val="000000"/>
                <w:kern w:val="2"/>
                <w:sz w:val="22"/>
                <w:lang w:eastAsia="en-GB"/>
                <w14:ligatures w14:val="standardContextual"/>
              </w:rPr>
              <w:t>[RAN2, RA</w:t>
            </w:r>
            <w:r w:rsidRPr="00947966">
              <w:rPr>
                <w:rFonts w:eastAsia="MS Mincho"/>
                <w:color w:val="000000"/>
                <w:kern w:val="2"/>
                <w:sz w:val="22"/>
                <w:lang w:eastAsia="en-GB"/>
                <w14:ligatures w14:val="standardContextual"/>
              </w:rPr>
              <w:lastRenderedPageBreak/>
              <w:t>N3</w:t>
            </w:r>
            <w:r w:rsidRPr="00947966">
              <w:rPr>
                <w:rFonts w:eastAsia="MS Mincho"/>
                <w:color w:val="000000"/>
                <w:kern w:val="2"/>
                <w:sz w:val="22"/>
                <w:lang w:eastAsia="ja-JP"/>
                <w14:ligatures w14:val="standardContextual"/>
              </w:rPr>
              <w:t>, RAN1</w:t>
            </w:r>
            <w:r w:rsidRPr="00947966">
              <w:rPr>
                <w:rFonts w:eastAsia="MS Mincho"/>
                <w:color w:val="000000"/>
                <w:kern w:val="2"/>
                <w:sz w:val="22"/>
                <w:lang w:eastAsia="en-GB"/>
                <w14:ligatures w14:val="standardContextual"/>
              </w:rPr>
              <w:t>]</w:t>
            </w:r>
          </w:p>
          <w:p w14:paraId="687D8E2C" w14:textId="77777777" w:rsidR="00947966" w:rsidRPr="00947966" w:rsidRDefault="00947966" w:rsidP="00947966">
            <w:pPr>
              <w:spacing w:after="0"/>
              <w:ind w:leftChars="213" w:left="426"/>
              <w:rPr>
                <w:rFonts w:eastAsia="MS Mincho"/>
                <w:color w:val="000000"/>
                <w:kern w:val="2"/>
                <w:sz w:val="22"/>
                <w:lang w:eastAsia="ja-JP"/>
                <w14:ligatures w14:val="standardContextual"/>
              </w:rPr>
            </w:pPr>
            <w:r w:rsidRPr="00947966">
              <w:rPr>
                <w:rFonts w:eastAsia="MS Mincho"/>
                <w:color w:val="000000"/>
                <w:kern w:val="2"/>
                <w:sz w:val="22"/>
                <w:lang w:eastAsia="ja-JP"/>
                <w14:ligatures w14:val="standardContextual"/>
              </w:rPr>
              <w:t>Note: NW for AI is assumed to be covered by new services</w:t>
            </w:r>
          </w:p>
          <w:p w14:paraId="125BA4E7" w14:textId="7329C1CC" w:rsidR="00947966" w:rsidRPr="00947966" w:rsidRDefault="00947966" w:rsidP="00947966">
            <w:pPr>
              <w:spacing w:after="0"/>
              <w:ind w:leftChars="213" w:left="426"/>
              <w:rPr>
                <w:rFonts w:eastAsia="맑은 고딕"/>
                <w:color w:val="000000"/>
                <w:kern w:val="2"/>
                <w:sz w:val="22"/>
                <w:lang w:eastAsia="ko-KR"/>
                <w14:ligatures w14:val="standardContextual"/>
              </w:rPr>
            </w:pPr>
            <w:r w:rsidRPr="00947966">
              <w:rPr>
                <w:rFonts w:eastAsia="MS Mincho"/>
                <w:color w:val="000000"/>
                <w:kern w:val="2"/>
                <w:sz w:val="22"/>
                <w:lang w:eastAsia="en-GB"/>
                <w14:ligatures w14:val="standardContextual"/>
              </w:rPr>
              <w:t>6GR and RAN design shall ensure that the 6G System can also operate without AI/ML</w:t>
            </w:r>
          </w:p>
        </w:tc>
      </w:tr>
    </w:tbl>
    <w:p w14:paraId="23C7A32A" w14:textId="77777777" w:rsidR="00947966" w:rsidRDefault="00947966" w:rsidP="00947966">
      <w:pPr>
        <w:spacing w:after="0" w:line="276" w:lineRule="auto"/>
        <w:jc w:val="both"/>
        <w:rPr>
          <w:rFonts w:eastAsia="맑은 고딕"/>
          <w:sz w:val="22"/>
          <w:szCs w:val="22"/>
          <w:lang w:eastAsia="ko-KR"/>
        </w:rPr>
      </w:pPr>
    </w:p>
    <w:p w14:paraId="310C3428" w14:textId="4722F96D"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In addition, from the draft agenda for RAN1#124, this agenda mainly considers as follows:</w:t>
      </w:r>
    </w:p>
    <w:tbl>
      <w:tblPr>
        <w:tblStyle w:val="TableGrid"/>
        <w:tblW w:w="0" w:type="auto"/>
        <w:tblLook w:val="04A0" w:firstRow="1" w:lastRow="0" w:firstColumn="1" w:lastColumn="0" w:noHBand="0" w:noVBand="1"/>
      </w:tblPr>
      <w:tblGrid>
        <w:gridCol w:w="9962"/>
      </w:tblGrid>
      <w:tr w:rsidR="00947966" w14:paraId="58DAD4D0" w14:textId="77777777" w:rsidTr="00947966">
        <w:tc>
          <w:tcPr>
            <w:tcW w:w="9962" w:type="dxa"/>
          </w:tcPr>
          <w:p w14:paraId="3942F5C2" w14:textId="61780209" w:rsidR="00947966" w:rsidRPr="00947966" w:rsidRDefault="00947966" w:rsidP="00947966">
            <w:pPr>
              <w:overflowPunct/>
              <w:autoSpaceDE/>
              <w:autoSpaceDN/>
              <w:adjustRightInd/>
              <w:spacing w:after="0"/>
              <w:textAlignment w:val="auto"/>
              <w:rPr>
                <w:rFonts w:ascii="Times" w:eastAsia="맑은 고딕" w:hAnsi="Times"/>
                <w:i/>
                <w:iCs/>
                <w:szCs w:val="24"/>
                <w:lang w:eastAsia="ko-KR"/>
              </w:rPr>
            </w:pPr>
            <w:r w:rsidRPr="00947966">
              <w:rPr>
                <w:rFonts w:ascii="Times" w:eastAsia="DengXian" w:hAnsi="Times" w:hint="eastAsia"/>
                <w:i/>
                <w:iCs/>
                <w:sz w:val="22"/>
                <w:szCs w:val="28"/>
                <w:lang w:eastAsia="zh-CN"/>
              </w:rPr>
              <w:t xml:space="preserve">Note 1: </w:t>
            </w:r>
            <w:r w:rsidRPr="00947966">
              <w:rPr>
                <w:rFonts w:ascii="Times" w:eastAsia="DengXian" w:hAnsi="Times"/>
                <w:i/>
                <w:iCs/>
                <w:sz w:val="22"/>
                <w:szCs w:val="28"/>
                <w:lang w:eastAsia="zh-CN"/>
              </w:rPr>
              <w:t>I</w:t>
            </w:r>
            <w:r w:rsidRPr="00947966">
              <w:rPr>
                <w:rFonts w:ascii="Times" w:eastAsia="DengXian" w:hAnsi="Times" w:hint="eastAsia"/>
                <w:i/>
                <w:iCs/>
                <w:sz w:val="22"/>
                <w:szCs w:val="28"/>
                <w:lang w:eastAsia="zh-CN"/>
              </w:rPr>
              <w:t xml:space="preserve">ncluding </w:t>
            </w:r>
            <w:r w:rsidRPr="00947966">
              <w:rPr>
                <w:rFonts w:ascii="Times" w:eastAsia="DengXian" w:hAnsi="Times"/>
                <w:i/>
                <w:iCs/>
                <w:sz w:val="22"/>
                <w:szCs w:val="28"/>
                <w:lang w:eastAsia="zh-CN"/>
              </w:rPr>
              <w:t>proposals</w:t>
            </w:r>
            <w:r w:rsidRPr="00947966">
              <w:rPr>
                <w:rFonts w:ascii="Times" w:eastAsia="DengXian" w:hAnsi="Times" w:hint="eastAsia"/>
                <w:i/>
                <w:iCs/>
                <w:sz w:val="22"/>
                <w:szCs w:val="28"/>
                <w:lang w:eastAsia="zh-CN"/>
              </w:rPr>
              <w:t xml:space="preserve"> for SRS design, transmission, acquisition for different </w:t>
            </w:r>
            <w:r w:rsidRPr="00947966">
              <w:rPr>
                <w:rFonts w:ascii="Times" w:eastAsia="DengXian" w:hAnsi="Times"/>
                <w:i/>
                <w:iCs/>
                <w:sz w:val="22"/>
                <w:szCs w:val="28"/>
                <w:lang w:eastAsia="zh-CN"/>
              </w:rPr>
              <w:t>usage</w:t>
            </w:r>
            <w:r w:rsidRPr="00947966">
              <w:rPr>
                <w:rFonts w:ascii="Times" w:eastAsia="DengXian" w:hAnsi="Times" w:hint="eastAsia"/>
                <w:i/>
                <w:iCs/>
                <w:sz w:val="22"/>
                <w:szCs w:val="28"/>
                <w:lang w:eastAsia="zh-CN"/>
              </w:rPr>
              <w:t>s.</w:t>
            </w:r>
          </w:p>
        </w:tc>
      </w:tr>
    </w:tbl>
    <w:p w14:paraId="7FDB0D01" w14:textId="77777777" w:rsidR="00920923" w:rsidRDefault="00920923" w:rsidP="00947966">
      <w:pPr>
        <w:spacing w:after="0" w:line="276" w:lineRule="auto"/>
        <w:jc w:val="both"/>
        <w:rPr>
          <w:rFonts w:eastAsia="맑은 고딕"/>
          <w:sz w:val="22"/>
          <w:szCs w:val="22"/>
          <w:lang w:eastAsia="ko-KR"/>
        </w:rPr>
      </w:pPr>
    </w:p>
    <w:p w14:paraId="5EDE50AB" w14:textId="3DE4714B" w:rsidR="00947966" w:rsidRDefault="00947966" w:rsidP="00947966">
      <w:pPr>
        <w:spacing w:after="0" w:line="276" w:lineRule="auto"/>
        <w:jc w:val="both"/>
        <w:rPr>
          <w:rFonts w:eastAsia="맑은 고딕"/>
          <w:sz w:val="22"/>
          <w:szCs w:val="22"/>
          <w:lang w:eastAsia="ko-KR"/>
        </w:rPr>
      </w:pPr>
      <w:r>
        <w:rPr>
          <w:rFonts w:eastAsia="맑은 고딕" w:hint="eastAsia"/>
          <w:sz w:val="22"/>
          <w:szCs w:val="22"/>
          <w:lang w:eastAsia="ko-KR"/>
        </w:rPr>
        <w:t>Based on the above, we investigate the aspects for uplink-based CSI acquisition especially for SRS design by taking AI/ML and non-AI/ML directions into account for 6G.</w:t>
      </w:r>
    </w:p>
    <w:p w14:paraId="28FDA2B2" w14:textId="3084C799" w:rsidR="00AC26A9" w:rsidRDefault="009C4AC0" w:rsidP="00AC26A9">
      <w:pPr>
        <w:pStyle w:val="Heading1"/>
        <w:rPr>
          <w:rFonts w:eastAsia="맑은 고딕"/>
          <w:lang w:val="en-US" w:eastAsia="ko-KR"/>
        </w:rPr>
      </w:pPr>
      <w:r w:rsidRPr="003A74B1">
        <w:rPr>
          <w:lang w:val="en-US"/>
        </w:rPr>
        <w:t>Discussion</w:t>
      </w:r>
      <w:bookmarkStart w:id="1" w:name="_Hlk4137067"/>
      <w:bookmarkStart w:id="2" w:name="_Hlk520894743"/>
      <w:bookmarkStart w:id="3" w:name="_Hlk7596973"/>
      <w:bookmarkStart w:id="4" w:name="_Hlk525462634"/>
      <w:bookmarkStart w:id="5" w:name="Proposal98262"/>
      <w:bookmarkStart w:id="6" w:name="Proposal38119"/>
    </w:p>
    <w:p w14:paraId="4B56872B" w14:textId="51A9DFA7" w:rsidR="0053668E" w:rsidRPr="002556E7" w:rsidRDefault="00F35DCD" w:rsidP="002556E7">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The 6G systems require a </w:t>
      </w:r>
      <w:r>
        <w:rPr>
          <w:rFonts w:eastAsia="맑은 고딕"/>
          <w:sz w:val="22"/>
          <w:szCs w:val="22"/>
          <w:lang w:eastAsia="ko-KR"/>
        </w:rPr>
        <w:t>fundamental</w:t>
      </w:r>
      <w:r>
        <w:rPr>
          <w:rFonts w:eastAsia="맑은 고딕" w:hint="eastAsia"/>
          <w:sz w:val="22"/>
          <w:szCs w:val="22"/>
          <w:lang w:eastAsia="ko-KR"/>
        </w:rPr>
        <w:t xml:space="preserve"> design of uplink channel state information (UL-CSI) acquisition to </w:t>
      </w:r>
      <w:r>
        <w:rPr>
          <w:rFonts w:eastAsia="맑은 고딕"/>
          <w:sz w:val="22"/>
          <w:szCs w:val="22"/>
          <w:lang w:eastAsia="ko-KR"/>
        </w:rPr>
        <w:t>accommodate</w:t>
      </w:r>
      <w:r>
        <w:rPr>
          <w:rFonts w:eastAsia="맑은 고딕" w:hint="eastAsia"/>
          <w:sz w:val="22"/>
          <w:szCs w:val="22"/>
          <w:lang w:eastAsia="ko-KR"/>
        </w:rPr>
        <w:t xml:space="preserve"> ultra-large antenna arrays (e.g., 256/512 ports) and wider channel bandwidths (up to 400 MHz). While current Rel-20 NR MIMO Phase 6 </w:t>
      </w:r>
      <w:r w:rsidR="0053668E">
        <w:rPr>
          <w:rFonts w:eastAsia="맑은 고딕" w:hint="eastAsia"/>
          <w:sz w:val="22"/>
          <w:szCs w:val="22"/>
          <w:lang w:eastAsia="ko-KR"/>
        </w:rPr>
        <w:t>focus</w:t>
      </w:r>
      <w:r>
        <w:rPr>
          <w:rFonts w:eastAsia="맑은 고딕" w:hint="eastAsia"/>
          <w:sz w:val="22"/>
          <w:szCs w:val="22"/>
          <w:lang w:eastAsia="ko-KR"/>
        </w:rPr>
        <w:t>es</w:t>
      </w:r>
      <w:r w:rsidR="0053668E">
        <w:rPr>
          <w:rFonts w:eastAsia="맑은 고딕" w:hint="eastAsia"/>
          <w:sz w:val="22"/>
          <w:szCs w:val="22"/>
          <w:lang w:eastAsia="ko-KR"/>
        </w:rPr>
        <w:t xml:space="preserve"> on improving SRS capacity and coverage through methods such as multiple frequency-domain starting positions and cross-slot SRS</w:t>
      </w:r>
      <w:r>
        <w:rPr>
          <w:rFonts w:eastAsia="맑은 고딕" w:hint="eastAsia"/>
          <w:sz w:val="22"/>
          <w:szCs w:val="22"/>
          <w:lang w:eastAsia="ko-KR"/>
        </w:rPr>
        <w:t xml:space="preserve">, traditional </w:t>
      </w:r>
      <w:r w:rsidR="0053668E">
        <w:rPr>
          <w:rFonts w:eastAsia="맑은 고딕" w:hint="eastAsia"/>
          <w:sz w:val="22"/>
          <w:szCs w:val="22"/>
          <w:lang w:eastAsia="ko-KR"/>
        </w:rPr>
        <w:t>non-AI approaches face several bottlenecks</w:t>
      </w:r>
      <w:r w:rsidR="002556E7">
        <w:rPr>
          <w:rFonts w:eastAsia="맑은 고딕" w:hint="eastAsia"/>
          <w:sz w:val="22"/>
          <w:szCs w:val="22"/>
          <w:lang w:eastAsia="ko-KR"/>
        </w:rPr>
        <w:t xml:space="preserve">. Supporting massive antenna ports with legacy SRS patterns causes </w:t>
      </w:r>
      <w:r w:rsidR="0053668E">
        <w:rPr>
          <w:rFonts w:eastAsia="맑은 고딕" w:hint="eastAsia"/>
          <w:sz w:val="22"/>
          <w:szCs w:val="22"/>
          <w:lang w:eastAsia="ko-KR"/>
        </w:rPr>
        <w:t xml:space="preserve">a </w:t>
      </w:r>
      <w:r w:rsidR="002556E7">
        <w:rPr>
          <w:rFonts w:eastAsia="맑은 고딕" w:hint="eastAsia"/>
          <w:sz w:val="22"/>
          <w:szCs w:val="22"/>
          <w:lang w:eastAsia="ko-KR"/>
        </w:rPr>
        <w:t>prohibitive</w:t>
      </w:r>
      <w:r w:rsidR="0053668E">
        <w:rPr>
          <w:rFonts w:eastAsia="맑은 고딕" w:hint="eastAsia"/>
          <w:sz w:val="22"/>
          <w:szCs w:val="22"/>
          <w:lang w:eastAsia="ko-KR"/>
        </w:rPr>
        <w:t xml:space="preserve"> </w:t>
      </w:r>
      <w:r w:rsidR="0053668E">
        <w:rPr>
          <w:rFonts w:eastAsia="맑은 고딕"/>
          <w:sz w:val="22"/>
          <w:szCs w:val="22"/>
          <w:lang w:eastAsia="ko-KR"/>
        </w:rPr>
        <w:t>increase</w:t>
      </w:r>
      <w:r w:rsidR="0053668E">
        <w:rPr>
          <w:rFonts w:eastAsia="맑은 고딕" w:hint="eastAsia"/>
          <w:sz w:val="22"/>
          <w:szCs w:val="22"/>
          <w:lang w:eastAsia="ko-KR"/>
        </w:rPr>
        <w:t xml:space="preserve"> in uplink resource consumption, which </w:t>
      </w:r>
      <w:r w:rsidR="002556E7">
        <w:rPr>
          <w:rFonts w:eastAsia="맑은 고딕" w:hint="eastAsia"/>
          <w:sz w:val="22"/>
          <w:szCs w:val="22"/>
          <w:lang w:eastAsia="ko-KR"/>
        </w:rPr>
        <w:t xml:space="preserve">significantly </w:t>
      </w:r>
      <w:r w:rsidR="0053668E">
        <w:rPr>
          <w:rFonts w:eastAsia="맑은 고딕" w:hint="eastAsia"/>
          <w:sz w:val="22"/>
          <w:szCs w:val="22"/>
          <w:lang w:eastAsia="ko-KR"/>
        </w:rPr>
        <w:t>limits spectral efficiency</w:t>
      </w:r>
      <w:r w:rsidR="002556E7">
        <w:rPr>
          <w:rFonts w:eastAsia="맑은 고딕" w:hint="eastAsia"/>
          <w:sz w:val="22"/>
          <w:szCs w:val="22"/>
          <w:lang w:eastAsia="ko-KR"/>
        </w:rPr>
        <w:t>. Furthermore, t</w:t>
      </w:r>
      <w:r w:rsidR="0053668E" w:rsidRPr="002556E7">
        <w:rPr>
          <w:rFonts w:eastAsia="맑은 고딕" w:hint="eastAsia"/>
          <w:sz w:val="22"/>
          <w:szCs w:val="22"/>
          <w:lang w:eastAsia="ko-KR"/>
        </w:rPr>
        <w:t xml:space="preserve">raditional </w:t>
      </w:r>
      <w:r w:rsidR="002556E7">
        <w:rPr>
          <w:rFonts w:eastAsia="맑은 고딕" w:hint="eastAsia"/>
          <w:sz w:val="22"/>
          <w:szCs w:val="22"/>
          <w:lang w:eastAsia="ko-KR"/>
        </w:rPr>
        <w:t>wideband acquisition relies on frequency hopping, which requires multip</w:t>
      </w:r>
      <w:r w:rsidR="0053668E" w:rsidRPr="002556E7">
        <w:rPr>
          <w:rFonts w:eastAsia="맑은 고딕" w:hint="eastAsia"/>
          <w:sz w:val="22"/>
          <w:szCs w:val="22"/>
          <w:lang w:eastAsia="ko-KR"/>
        </w:rPr>
        <w:t>le slots to traverse the entire bandwidth</w:t>
      </w:r>
      <w:r w:rsidR="002556E7">
        <w:rPr>
          <w:rFonts w:eastAsia="맑은 고딕" w:hint="eastAsia"/>
          <w:sz w:val="22"/>
          <w:szCs w:val="22"/>
          <w:lang w:eastAsia="ko-KR"/>
        </w:rPr>
        <w:t>. In high-mobility scenarios such as UAV communications or high-speed vehicular UE</w:t>
      </w:r>
      <w:r w:rsidR="0053668E" w:rsidRPr="002556E7">
        <w:rPr>
          <w:rFonts w:eastAsia="맑은 고딕" w:hint="eastAsia"/>
          <w:sz w:val="22"/>
          <w:szCs w:val="22"/>
          <w:lang w:eastAsia="ko-KR"/>
        </w:rPr>
        <w:t xml:space="preserve">, </w:t>
      </w:r>
      <w:r w:rsidR="002556E7">
        <w:rPr>
          <w:rFonts w:eastAsia="맑은 고딕" w:hint="eastAsia"/>
          <w:sz w:val="22"/>
          <w:szCs w:val="22"/>
          <w:lang w:eastAsia="ko-KR"/>
        </w:rPr>
        <w:t xml:space="preserve">this sequential acquisition leads to outdated channel </w:t>
      </w:r>
      <w:r w:rsidR="0053668E" w:rsidRPr="002556E7">
        <w:rPr>
          <w:rFonts w:eastAsia="맑은 고딕" w:hint="eastAsia"/>
          <w:sz w:val="22"/>
          <w:szCs w:val="22"/>
          <w:lang w:eastAsia="ko-KR"/>
        </w:rPr>
        <w:t xml:space="preserve">information </w:t>
      </w:r>
      <w:r w:rsidR="002556E7">
        <w:rPr>
          <w:rFonts w:eastAsia="맑은 고딕" w:hint="eastAsia"/>
          <w:sz w:val="22"/>
          <w:szCs w:val="22"/>
          <w:lang w:eastAsia="ko-KR"/>
        </w:rPr>
        <w:t>or channel aging, where estimated CSI no longer reflects the instantaneous channel state. The actual reciprocity in TDD systems is also degraded by non-ideal hardware implementation in RF front-end such as inconsistent amplitude and phase responses, which requires complex reciprocity calibration that is difficult to manage with static mechanisms.</w:t>
      </w:r>
    </w:p>
    <w:p w14:paraId="5B684E4E" w14:textId="0B5DD1DA" w:rsidR="00BE7CCA" w:rsidRDefault="00BE7CCA" w:rsidP="002556E7">
      <w:pPr>
        <w:spacing w:after="0" w:line="276" w:lineRule="auto"/>
        <w:ind w:firstLineChars="100" w:firstLine="220"/>
        <w:jc w:val="both"/>
        <w:rPr>
          <w:rFonts w:eastAsia="맑은 고딕"/>
          <w:sz w:val="22"/>
          <w:szCs w:val="22"/>
          <w:lang w:eastAsia="ko-KR"/>
        </w:rPr>
      </w:pPr>
      <w:r w:rsidRPr="00BE7CCA">
        <w:rPr>
          <w:rFonts w:eastAsia="맑은 고딕" w:hint="eastAsia"/>
          <w:sz w:val="22"/>
          <w:szCs w:val="22"/>
          <w:lang w:eastAsia="ko-KR"/>
        </w:rPr>
        <w:t xml:space="preserve">To </w:t>
      </w:r>
      <w:r w:rsidR="002556E7">
        <w:rPr>
          <w:rFonts w:eastAsia="맑은 고딕" w:hint="eastAsia"/>
          <w:sz w:val="22"/>
          <w:szCs w:val="22"/>
          <w:lang w:eastAsia="ko-KR"/>
        </w:rPr>
        <w:t xml:space="preserve">achieve </w:t>
      </w:r>
      <w:r w:rsidRPr="00BE7CCA">
        <w:rPr>
          <w:rFonts w:eastAsia="맑은 고딕" w:hint="eastAsia"/>
          <w:sz w:val="22"/>
          <w:szCs w:val="22"/>
          <w:lang w:eastAsia="ko-KR"/>
        </w:rPr>
        <w:t>6G performance target</w:t>
      </w:r>
      <w:r w:rsidR="005B07F4">
        <w:rPr>
          <w:rFonts w:eastAsia="맑은 고딕" w:hint="eastAsia"/>
          <w:sz w:val="22"/>
          <w:szCs w:val="22"/>
          <w:lang w:eastAsia="ko-KR"/>
        </w:rPr>
        <w:t>s</w:t>
      </w:r>
      <w:r>
        <w:rPr>
          <w:rFonts w:eastAsia="맑은 고딕" w:hint="eastAsia"/>
          <w:sz w:val="22"/>
          <w:szCs w:val="22"/>
          <w:lang w:eastAsia="ko-KR"/>
        </w:rPr>
        <w:t>,</w:t>
      </w:r>
      <w:r w:rsidR="005B07F4">
        <w:rPr>
          <w:rFonts w:eastAsia="맑은 고딕" w:hint="eastAsia"/>
          <w:sz w:val="22"/>
          <w:szCs w:val="22"/>
          <w:lang w:eastAsia="ko-KR"/>
        </w:rPr>
        <w:t xml:space="preserve"> including a higher connection density than 5G, </w:t>
      </w:r>
      <w:r>
        <w:rPr>
          <w:rFonts w:eastAsia="맑은 고딕" w:hint="eastAsia"/>
          <w:sz w:val="22"/>
          <w:szCs w:val="22"/>
          <w:lang w:eastAsia="ko-KR"/>
        </w:rPr>
        <w:t>SRS design must evolve from static full-density sounding to high-efficiency acquisition based on sparse measurements.</w:t>
      </w:r>
      <w:r w:rsidR="00F35DCD">
        <w:rPr>
          <w:rFonts w:eastAsia="맑은 고딕" w:hint="eastAsia"/>
          <w:sz w:val="22"/>
          <w:szCs w:val="22"/>
          <w:lang w:eastAsia="ko-KR"/>
        </w:rPr>
        <w:t xml:space="preserve"> </w:t>
      </w:r>
      <w:r w:rsidR="005B07F4">
        <w:rPr>
          <w:rFonts w:eastAsia="맑은 고딕" w:hint="eastAsia"/>
          <w:sz w:val="22"/>
          <w:szCs w:val="22"/>
          <w:lang w:eastAsia="ko-KR"/>
        </w:rPr>
        <w:t xml:space="preserve">This paradigm shift is essential to maintain CSI accuracy while reducing the sounding overhead. </w:t>
      </w:r>
      <w:r w:rsidR="00F35DCD">
        <w:rPr>
          <w:rFonts w:eastAsia="맑은 고딕" w:hint="eastAsia"/>
          <w:sz w:val="22"/>
          <w:szCs w:val="22"/>
          <w:lang w:eastAsia="ko-KR"/>
        </w:rPr>
        <w:t>To this end, the following two sub-sections investigate the aspects on SRS design for 6G with or without AI/ML-based mechanisms.</w:t>
      </w:r>
    </w:p>
    <w:p w14:paraId="1D1DA47B" w14:textId="7B082FEF" w:rsidR="00755396" w:rsidRDefault="00251808" w:rsidP="00755396">
      <w:pPr>
        <w:pStyle w:val="Heading2"/>
        <w:rPr>
          <w:rFonts w:eastAsia="맑은 고딕"/>
          <w:lang w:val="en-US" w:eastAsia="ko-KR"/>
        </w:rPr>
      </w:pPr>
      <w:r>
        <w:rPr>
          <w:rFonts w:eastAsia="맑은 고딕" w:hint="eastAsia"/>
          <w:lang w:val="en-US" w:eastAsia="ko-KR"/>
        </w:rPr>
        <w:t>Non-AI/ML-based SRS design for 6G</w:t>
      </w:r>
    </w:p>
    <w:p w14:paraId="21A551E7" w14:textId="77777777" w:rsidR="008E166C" w:rsidRDefault="34D299F3" w:rsidP="00251808">
      <w:pPr>
        <w:spacing w:after="0" w:line="276" w:lineRule="auto"/>
        <w:ind w:firstLineChars="100" w:firstLine="220"/>
        <w:jc w:val="both"/>
        <w:rPr>
          <w:rFonts w:eastAsia="맑은 고딕"/>
          <w:sz w:val="22"/>
          <w:szCs w:val="22"/>
          <w:lang w:eastAsia="ko-KR"/>
        </w:rPr>
      </w:pPr>
      <w:r w:rsidRPr="34D299F3">
        <w:rPr>
          <w:rFonts w:eastAsia="맑은 고딕"/>
          <w:sz w:val="22"/>
          <w:szCs w:val="22"/>
          <w:lang w:eastAsia="ko-KR"/>
        </w:rPr>
        <w:t xml:space="preserve">To ensure that the 6G system remains fully operable even for UEs without AI/ML capability, the SRS design should inherit and evolve the successful principles established in Rel-20 NR MIMO Phase 6. The primary focus on non-AI/ML-based enhancements is for maximizing time-frequency resource utilization to provide a high-capacity baseline for all UE types. This includes extending the flexibility of comb structures and cyclic shift (CS) principles to support larger-scale deployments while maintaining backward compatibility with the NR framework. </w:t>
      </w:r>
    </w:p>
    <w:p w14:paraId="2557B3E3" w14:textId="305EA494" w:rsidR="00865F7A" w:rsidRDefault="64383ABF" w:rsidP="007D38CB">
      <w:pPr>
        <w:spacing w:after="0" w:line="276" w:lineRule="auto"/>
        <w:ind w:firstLine="225"/>
        <w:jc w:val="both"/>
        <w:rPr>
          <w:rFonts w:eastAsia="맑은 고딕"/>
          <w:sz w:val="22"/>
          <w:szCs w:val="22"/>
          <w:lang w:eastAsia="ko-KR"/>
        </w:rPr>
      </w:pPr>
      <w:r w:rsidRPr="64383ABF">
        <w:rPr>
          <w:rFonts w:eastAsia="맑은 고딕"/>
          <w:sz w:val="22"/>
          <w:szCs w:val="22"/>
          <w:lang w:eastAsia="ko-KR"/>
        </w:rPr>
        <w:t>By evolving established mechanisms such as cross-slot SRS, 6G can increase the total number of symbols available for sounding without increasing the periodicity, which is critical for massive MIMO operations. These physical layer techniques provide a robust fallback mechanism and serve as the essential ‘ground truth’ baseline required for the training and verification of more advanced AI-assisted schemes. Considering these enhancements can ensure that the NW has a reliable fallback when AI/ML model encounters domain shifts or unexpected channel conditions. Moreover, 6G should leverage the</w:t>
      </w:r>
      <w:r w:rsidR="007D38CB">
        <w:rPr>
          <w:rFonts w:eastAsia="맑은 고딕" w:hint="eastAsia"/>
          <w:sz w:val="22"/>
          <w:szCs w:val="22"/>
          <w:lang w:eastAsia="ko-KR"/>
        </w:rPr>
        <w:t xml:space="preserve"> above</w:t>
      </w:r>
      <w:r w:rsidRPr="64383ABF">
        <w:rPr>
          <w:rFonts w:eastAsia="맑은 고딕"/>
          <w:sz w:val="22"/>
          <w:szCs w:val="22"/>
          <w:lang w:eastAsia="ko-KR"/>
        </w:rPr>
        <w:t xml:space="preserve"> non-AI-based enhancements to facilitate the collection of highly reliable training data. For example, occasional ‘full-density SRS bursts’ can be configured to provide the NW-side model with perfect channel labels before transitioning back to sparse, high-efficiency AI-based sounding. This approach of Rel-20 NR SRS design (e.g., multiple starting positions, cross-slot SRS) can ensure that the 6G SRS framework remains operable, verifiable, and compatible with the diverse range of UE capabilities.</w:t>
      </w:r>
    </w:p>
    <w:p w14:paraId="76AD0B79" w14:textId="77777777" w:rsidR="00865F7A" w:rsidRDefault="00865F7A" w:rsidP="00865F7A">
      <w:pPr>
        <w:spacing w:after="0" w:line="276" w:lineRule="auto"/>
        <w:jc w:val="both"/>
        <w:rPr>
          <w:rFonts w:eastAsia="맑은 고딕"/>
          <w:sz w:val="22"/>
          <w:szCs w:val="22"/>
          <w:lang w:eastAsia="ko-KR"/>
        </w:rPr>
      </w:pPr>
    </w:p>
    <w:p w14:paraId="385114E2" w14:textId="02DAF6DD" w:rsidR="00865F7A" w:rsidRDefault="00865F7A" w:rsidP="00865F7A">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sidR="00646867">
        <w:rPr>
          <w:rFonts w:eastAsia="맑은 고딕" w:hint="eastAsia"/>
          <w:b/>
          <w:bCs/>
          <w:sz w:val="22"/>
          <w:szCs w:val="22"/>
          <w:lang w:eastAsia="ko-KR"/>
        </w:rPr>
        <w:t xml:space="preserve"> </w:t>
      </w:r>
      <w:r w:rsidRPr="00865F7A">
        <w:rPr>
          <w:rFonts w:eastAsia="맑은 고딕" w:hint="eastAsia"/>
          <w:b/>
          <w:bCs/>
          <w:sz w:val="22"/>
          <w:szCs w:val="22"/>
          <w:lang w:eastAsia="ko-KR"/>
        </w:rPr>
        <w:t xml:space="preserve">#1: For 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Rel-20</w:t>
      </w:r>
      <w:r>
        <w:rPr>
          <w:rFonts w:eastAsia="맑은 고딕" w:hint="eastAsia"/>
          <w:b/>
          <w:bCs/>
          <w:sz w:val="22"/>
          <w:szCs w:val="22"/>
          <w:lang w:eastAsia="ko-KR"/>
        </w:rPr>
        <w:t xml:space="preserve"> NR</w:t>
      </w:r>
      <w:r w:rsidRPr="00865F7A">
        <w:rPr>
          <w:rFonts w:eastAsia="맑은 고딕" w:hint="eastAsia"/>
          <w:b/>
          <w:bCs/>
          <w:sz w:val="22"/>
          <w:szCs w:val="22"/>
          <w:lang w:eastAsia="ko-KR"/>
        </w:rPr>
        <w:t xml:space="preserve"> </w:t>
      </w:r>
      <w:r>
        <w:rPr>
          <w:rFonts w:eastAsia="맑은 고딕" w:hint="eastAsia"/>
          <w:b/>
          <w:bCs/>
          <w:sz w:val="22"/>
          <w:szCs w:val="22"/>
          <w:lang w:eastAsia="ko-KR"/>
        </w:rPr>
        <w:t>SRS design</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e.g., </w:t>
      </w:r>
      <w:r w:rsidRPr="00865F7A">
        <w:rPr>
          <w:rFonts w:eastAsia="맑은 고딕" w:hint="eastAsia"/>
          <w:b/>
          <w:bCs/>
          <w:sz w:val="22"/>
          <w:szCs w:val="22"/>
          <w:lang w:eastAsia="ko-KR"/>
        </w:rPr>
        <w:t>multiple starting positions, cross-slot SRS) as a baseline for 6G SRS design to ensure operability and provide reliable labels for AI/ML data collection and training.</w:t>
      </w:r>
    </w:p>
    <w:p w14:paraId="364D3C38" w14:textId="77777777" w:rsidR="00865F7A" w:rsidRPr="00865F7A" w:rsidRDefault="00865F7A" w:rsidP="00865F7A">
      <w:pPr>
        <w:spacing w:after="0" w:line="276" w:lineRule="auto"/>
        <w:jc w:val="both"/>
        <w:rPr>
          <w:rFonts w:eastAsia="맑은 고딕"/>
          <w:b/>
          <w:bCs/>
          <w:sz w:val="22"/>
          <w:szCs w:val="22"/>
          <w:lang w:eastAsia="ko-KR"/>
        </w:rPr>
      </w:pPr>
    </w:p>
    <w:p w14:paraId="73B401BB" w14:textId="3B408F2C" w:rsidR="00755396" w:rsidRDefault="00FD3B68" w:rsidP="00755396">
      <w:pPr>
        <w:pStyle w:val="Heading2"/>
        <w:rPr>
          <w:rFonts w:eastAsia="맑은 고딕"/>
          <w:lang w:val="en-US" w:eastAsia="ko-KR"/>
        </w:rPr>
      </w:pPr>
      <w:r>
        <w:rPr>
          <w:rFonts w:eastAsia="맑은 고딕" w:hint="eastAsia"/>
          <w:lang w:val="en-US" w:eastAsia="ko-KR"/>
        </w:rPr>
        <w:t xml:space="preserve">AI/ML-based SRS </w:t>
      </w:r>
      <w:r w:rsidR="00251808">
        <w:rPr>
          <w:rFonts w:eastAsia="맑은 고딕" w:hint="eastAsia"/>
          <w:lang w:val="en-US" w:eastAsia="ko-KR"/>
        </w:rPr>
        <w:t>design for 6G</w:t>
      </w:r>
    </w:p>
    <w:p w14:paraId="0AFEE520" w14:textId="7660625D" w:rsidR="00FD3B68" w:rsidRDefault="00FD3B68" w:rsidP="00FD3B68">
      <w:pPr>
        <w:spacing w:after="0" w:line="276" w:lineRule="auto"/>
        <w:ind w:firstLineChars="100" w:firstLine="220"/>
        <w:jc w:val="both"/>
        <w:rPr>
          <w:rFonts w:eastAsia="맑은 고딕"/>
          <w:sz w:val="22"/>
          <w:szCs w:val="22"/>
          <w:lang w:eastAsia="ko-KR"/>
        </w:rPr>
      </w:pPr>
      <w:r>
        <w:rPr>
          <w:rFonts w:eastAsia="맑은 고딕" w:hint="eastAsia"/>
          <w:sz w:val="22"/>
          <w:szCs w:val="22"/>
          <w:lang w:eastAsia="ko-KR"/>
        </w:rPr>
        <w:t xml:space="preserve">In RAN1#123, the following </w:t>
      </w:r>
      <w:r w:rsidR="0012789C">
        <w:rPr>
          <w:rFonts w:eastAsia="맑은 고딕" w:hint="eastAsia"/>
          <w:sz w:val="22"/>
          <w:szCs w:val="22"/>
          <w:lang w:eastAsia="ko-KR"/>
        </w:rPr>
        <w:t xml:space="preserve">AI/ML </w:t>
      </w:r>
      <w:r>
        <w:rPr>
          <w:rFonts w:eastAsia="맑은 고딕" w:hint="eastAsia"/>
          <w:sz w:val="22"/>
          <w:szCs w:val="22"/>
          <w:lang w:eastAsia="ko-KR"/>
        </w:rPr>
        <w:t xml:space="preserve">use cases for SRS </w:t>
      </w:r>
      <w:r w:rsidR="0012789C">
        <w:rPr>
          <w:rFonts w:eastAsia="맑은 고딕" w:hint="eastAsia"/>
          <w:sz w:val="22"/>
          <w:szCs w:val="22"/>
          <w:lang w:eastAsia="ko-KR"/>
        </w:rPr>
        <w:t xml:space="preserve">are identified and it </w:t>
      </w:r>
      <w:r>
        <w:rPr>
          <w:rFonts w:eastAsia="맑은 고딕" w:hint="eastAsia"/>
          <w:sz w:val="22"/>
          <w:szCs w:val="22"/>
          <w:lang w:eastAsia="ko-KR"/>
        </w:rPr>
        <w:t>can be matched to the identified primary agendas of RAN1 for study as:</w:t>
      </w:r>
    </w:p>
    <w:tbl>
      <w:tblPr>
        <w:tblStyle w:val="TableGrid"/>
        <w:tblW w:w="0" w:type="auto"/>
        <w:tblLook w:val="04A0" w:firstRow="1" w:lastRow="0" w:firstColumn="1" w:lastColumn="0" w:noHBand="0" w:noVBand="1"/>
      </w:tblPr>
      <w:tblGrid>
        <w:gridCol w:w="9962"/>
      </w:tblGrid>
      <w:tr w:rsidR="00FD3B68" w14:paraId="44E2AD48" w14:textId="77777777" w:rsidTr="00FD3B68">
        <w:tc>
          <w:tcPr>
            <w:tcW w:w="9962" w:type="dxa"/>
          </w:tcPr>
          <w:p w14:paraId="09465923" w14:textId="77777777" w:rsidR="00FD3B68" w:rsidRPr="00FD3B68" w:rsidRDefault="00FD3B68" w:rsidP="00FD3B68">
            <w:pPr>
              <w:overflowPunct/>
              <w:autoSpaceDE/>
              <w:autoSpaceDN/>
              <w:adjustRightInd/>
              <w:spacing w:after="0"/>
              <w:textAlignment w:val="auto"/>
              <w:rPr>
                <w:rFonts w:ascii="Times" w:eastAsia="DengXian" w:hAnsi="Times"/>
                <w:b/>
                <w:bCs/>
                <w:highlight w:val="green"/>
                <w:lang w:eastAsia="zh-CN"/>
              </w:rPr>
            </w:pPr>
            <w:r w:rsidRPr="00FD3B68">
              <w:rPr>
                <w:rFonts w:ascii="Times" w:eastAsia="DengXian" w:hAnsi="Times" w:hint="eastAsia"/>
                <w:b/>
                <w:bCs/>
                <w:highlight w:val="green"/>
                <w:lang w:eastAsia="zh-CN"/>
              </w:rPr>
              <w:t>Agreement</w:t>
            </w:r>
          </w:p>
          <w:p w14:paraId="6AD65367" w14:textId="77777777" w:rsidR="00FD3B68" w:rsidRPr="00FD3B68" w:rsidRDefault="00FD3B68" w:rsidP="00FD3B68">
            <w:pPr>
              <w:overflowPunct/>
              <w:autoSpaceDE/>
              <w:autoSpaceDN/>
              <w:adjustRightInd/>
              <w:spacing w:after="0" w:line="288" w:lineRule="auto"/>
              <w:ind w:left="200" w:hangingChars="100" w:hanging="200"/>
              <w:jc w:val="both"/>
              <w:textAlignment w:val="auto"/>
              <w:rPr>
                <w:rFonts w:eastAsia="Times New Roman" w:cs="바탕"/>
              </w:rPr>
            </w:pPr>
            <w:r w:rsidRPr="00FD3B68">
              <w:rPr>
                <w:rFonts w:eastAsia="Times New Roman" w:cs="바탕"/>
              </w:rPr>
              <w:t xml:space="preserve">From RAN 1 perspective, </w:t>
            </w:r>
            <w:r w:rsidRPr="00FD3B68">
              <w:rPr>
                <w:rFonts w:eastAsia="DengXian" w:cs="바탕" w:hint="eastAsia"/>
                <w:lang w:eastAsia="zh-CN"/>
              </w:rPr>
              <w:t>the following use cases can be matched to the identified primary agendas of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3151"/>
              <w:gridCol w:w="4701"/>
            </w:tblGrid>
            <w:tr w:rsidR="00FD3B68" w:rsidRPr="00FD3B68" w14:paraId="66F7D87A" w14:textId="77777777" w:rsidTr="00FD3B68">
              <w:tc>
                <w:tcPr>
                  <w:tcW w:w="2586" w:type="pct"/>
                  <w:gridSpan w:val="2"/>
                  <w:shd w:val="clear" w:color="auto" w:fill="AEAAAA"/>
                </w:tcPr>
                <w:p w14:paraId="3B4A7F65"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b/>
                      <w:bCs/>
                    </w:rPr>
                    <w:t>Use cases</w:t>
                  </w:r>
                </w:p>
              </w:tc>
              <w:tc>
                <w:tcPr>
                  <w:tcW w:w="2414" w:type="pct"/>
                  <w:shd w:val="clear" w:color="auto" w:fill="AEAAAA"/>
                </w:tcPr>
                <w:p w14:paraId="34060B9A" w14:textId="77777777" w:rsidR="00FD3B68" w:rsidRPr="00FD3B68" w:rsidRDefault="00FD3B68" w:rsidP="00FD3B68">
                  <w:pPr>
                    <w:overflowPunct/>
                    <w:autoSpaceDE/>
                    <w:autoSpaceDN/>
                    <w:adjustRightInd/>
                    <w:spacing w:after="0" w:line="288" w:lineRule="auto"/>
                    <w:ind w:firstLine="13"/>
                    <w:jc w:val="both"/>
                    <w:textAlignment w:val="auto"/>
                    <w:rPr>
                      <w:rFonts w:eastAsia="맑은 고딕" w:cs="바탕"/>
                      <w:lang w:eastAsia="ko-KR"/>
                    </w:rPr>
                  </w:pPr>
                  <w:r w:rsidRPr="00FD3B68">
                    <w:rPr>
                      <w:rFonts w:eastAsia="Times New Roman" w:cs="바탕"/>
                      <w:b/>
                      <w:bCs/>
                    </w:rPr>
                    <w:t>Primary</w:t>
                  </w:r>
                  <w:r w:rsidRPr="00FD3B68" w:rsidDel="00FD4493">
                    <w:rPr>
                      <w:rFonts w:eastAsia="Times New Roman" w:cs="바탕"/>
                      <w:b/>
                      <w:bCs/>
                    </w:rPr>
                    <w:t xml:space="preserve"> </w:t>
                  </w:r>
                  <w:r w:rsidRPr="00FD3B68">
                    <w:rPr>
                      <w:rFonts w:eastAsia="Times New Roman" w:cs="바탕"/>
                      <w:b/>
                      <w:bCs/>
                    </w:rPr>
                    <w:t xml:space="preserve">agendas </w:t>
                  </w:r>
                  <w:r w:rsidRPr="00FD3B68">
                    <w:rPr>
                      <w:rFonts w:eastAsia="맑은 고딕" w:cs="바탕" w:hint="eastAsia"/>
                      <w:b/>
                      <w:bCs/>
                      <w:lang w:eastAsia="ko-KR"/>
                    </w:rPr>
                    <w:t>(11.x)</w:t>
                  </w:r>
                </w:p>
              </w:tc>
            </w:tr>
            <w:tr w:rsidR="00FD3B68" w:rsidRPr="00FD3B68" w14:paraId="4B04BFEC" w14:textId="77777777" w:rsidTr="00FD3B68">
              <w:trPr>
                <w:trHeight w:val="413"/>
              </w:trPr>
              <w:tc>
                <w:tcPr>
                  <w:tcW w:w="968" w:type="pct"/>
                  <w:vMerge w:val="restart"/>
                </w:tcPr>
                <w:p w14:paraId="3D9E122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for SRS</w:t>
                  </w:r>
                </w:p>
              </w:tc>
              <w:tc>
                <w:tcPr>
                  <w:tcW w:w="1618" w:type="pct"/>
                </w:tcPr>
                <w:p w14:paraId="742BC56C"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overhead SRS with AI/ML</w:t>
                  </w:r>
                </w:p>
              </w:tc>
              <w:tc>
                <w:tcPr>
                  <w:tcW w:w="2414" w:type="pct"/>
                  <w:vMerge w:val="restart"/>
                </w:tcPr>
                <w:p w14:paraId="4E41BD37"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r w:rsidRPr="00FD3B68">
                    <w:rPr>
                      <w:rFonts w:eastAsia="Times New Roman" w:cs="바탕"/>
                    </w:rPr>
                    <w:t>SRS</w:t>
                  </w:r>
                </w:p>
              </w:tc>
            </w:tr>
            <w:tr w:rsidR="00FD3B68" w:rsidRPr="00FD3B68" w14:paraId="2C801FB7" w14:textId="77777777" w:rsidTr="00FD3B68">
              <w:trPr>
                <w:trHeight w:val="100"/>
              </w:trPr>
              <w:tc>
                <w:tcPr>
                  <w:tcW w:w="968" w:type="pct"/>
                  <w:vMerge/>
                </w:tcPr>
                <w:p w14:paraId="10438B84"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0A4C0513"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Low PAPR SRS sequence design</w:t>
                  </w:r>
                </w:p>
              </w:tc>
              <w:tc>
                <w:tcPr>
                  <w:tcW w:w="2414" w:type="pct"/>
                  <w:vMerge/>
                </w:tcPr>
                <w:p w14:paraId="216B4D45" w14:textId="77777777" w:rsidR="00FD3B68" w:rsidRPr="00FD3B68" w:rsidRDefault="00FD3B68" w:rsidP="00FD3B68">
                  <w:pPr>
                    <w:overflowPunct/>
                    <w:autoSpaceDE/>
                    <w:autoSpaceDN/>
                    <w:adjustRightInd/>
                    <w:spacing w:after="0" w:line="288" w:lineRule="auto"/>
                    <w:ind w:firstLine="13"/>
                    <w:jc w:val="both"/>
                    <w:textAlignment w:val="auto"/>
                    <w:rPr>
                      <w:rFonts w:eastAsia="Times New Roman" w:cs="바탕"/>
                    </w:rPr>
                  </w:pPr>
                </w:p>
              </w:tc>
            </w:tr>
            <w:tr w:rsidR="00FD3B68" w:rsidRPr="00FD3B68" w14:paraId="716072EB" w14:textId="77777777" w:rsidTr="00FD3B68">
              <w:trPr>
                <w:trHeight w:val="100"/>
              </w:trPr>
              <w:tc>
                <w:tcPr>
                  <w:tcW w:w="968" w:type="pct"/>
                  <w:vMerge/>
                </w:tcPr>
                <w:p w14:paraId="4A4D8C8B"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p>
              </w:tc>
              <w:tc>
                <w:tcPr>
                  <w:tcW w:w="1618" w:type="pct"/>
                </w:tcPr>
                <w:p w14:paraId="1C157AE7" w14:textId="77777777" w:rsidR="00FD3B68" w:rsidRPr="00FD3B68" w:rsidRDefault="00FD3B68" w:rsidP="00FD3B68">
                  <w:pPr>
                    <w:overflowPunct/>
                    <w:autoSpaceDE/>
                    <w:autoSpaceDN/>
                    <w:adjustRightInd/>
                    <w:spacing w:after="0" w:line="288" w:lineRule="auto"/>
                    <w:ind w:hanging="23"/>
                    <w:jc w:val="both"/>
                    <w:textAlignment w:val="auto"/>
                    <w:rPr>
                      <w:rFonts w:eastAsia="Times New Roman" w:cs="바탕"/>
                    </w:rPr>
                  </w:pPr>
                  <w:r w:rsidRPr="00FD3B68">
                    <w:rPr>
                      <w:rFonts w:eastAsia="Times New Roman" w:cs="바탕"/>
                    </w:rPr>
                    <w:t>AI/ML based SRS power imbalance compensation</w:t>
                  </w:r>
                </w:p>
              </w:tc>
              <w:tc>
                <w:tcPr>
                  <w:tcW w:w="2414" w:type="pct"/>
                </w:tcPr>
                <w:p w14:paraId="7F18B18D" w14:textId="77777777" w:rsidR="00FD3B68" w:rsidRPr="00FD3B68" w:rsidRDefault="00FD3B68" w:rsidP="00FD3B68">
                  <w:pPr>
                    <w:overflowPunct/>
                    <w:autoSpaceDE/>
                    <w:autoSpaceDN/>
                    <w:adjustRightInd/>
                    <w:spacing w:after="0" w:line="288" w:lineRule="auto"/>
                    <w:ind w:firstLine="13"/>
                    <w:jc w:val="both"/>
                    <w:textAlignment w:val="auto"/>
                    <w:rPr>
                      <w:rFonts w:eastAsia="DengXian" w:cs="바탕"/>
                      <w:lang w:eastAsia="zh-CN"/>
                    </w:rPr>
                  </w:pPr>
                  <w:r w:rsidRPr="00FD3B68">
                    <w:rPr>
                      <w:rFonts w:eastAsia="DengXian" w:cs="바탕"/>
                      <w:lang w:eastAsia="zh-CN"/>
                    </w:rPr>
                    <w:t>N</w:t>
                  </w:r>
                  <w:r w:rsidRPr="00FD3B68">
                    <w:rPr>
                      <w:rFonts w:eastAsia="DengXian" w:cs="바탕" w:hint="eastAsia"/>
                      <w:lang w:eastAsia="zh-CN"/>
                    </w:rPr>
                    <w:t>ot RAN1-led</w:t>
                  </w:r>
                </w:p>
              </w:tc>
            </w:tr>
          </w:tbl>
          <w:p w14:paraId="73325DEC" w14:textId="77777777" w:rsidR="00FD3B68" w:rsidRPr="00FD3B68" w:rsidRDefault="00FD3B68" w:rsidP="00755396">
            <w:pPr>
              <w:spacing w:after="0" w:line="276" w:lineRule="auto"/>
              <w:jc w:val="both"/>
              <w:rPr>
                <w:rFonts w:eastAsia="맑은 고딕"/>
                <w:lang w:eastAsia="ko-KR"/>
              </w:rPr>
            </w:pPr>
          </w:p>
          <w:p w14:paraId="0762BBBB" w14:textId="77777777" w:rsidR="00FD3B68" w:rsidRPr="00FD3B68" w:rsidRDefault="00FD3B68" w:rsidP="00FD3B68">
            <w:pPr>
              <w:overflowPunct/>
              <w:autoSpaceDE/>
              <w:autoSpaceDN/>
              <w:adjustRightInd/>
              <w:spacing w:after="0"/>
              <w:jc w:val="both"/>
              <w:textAlignment w:val="auto"/>
              <w:rPr>
                <w:rFonts w:eastAsia="DengXian"/>
                <w:b/>
                <w:bCs/>
                <w:lang w:val="en-US" w:eastAsia="zh-CN"/>
              </w:rPr>
            </w:pPr>
            <w:r w:rsidRPr="00FD3B68">
              <w:rPr>
                <w:rFonts w:eastAsia="DengXian" w:hint="eastAsia"/>
                <w:b/>
                <w:bCs/>
                <w:lang w:val="en-US" w:eastAsia="zh-CN"/>
              </w:rPr>
              <w:t>Observation</w:t>
            </w:r>
            <w:r w:rsidRPr="00FD3B68">
              <w:rPr>
                <w:rFonts w:eastAsia="DengXian"/>
                <w:b/>
                <w:bCs/>
                <w:lang w:val="en-US" w:eastAsia="zh-CN"/>
              </w:rPr>
              <w:t xml:space="preserve"> 2.7</w:t>
            </w:r>
          </w:p>
          <w:p w14:paraId="71C8A44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For 6GR AI/ML use cases identification</w:t>
            </w:r>
            <w:r w:rsidRPr="00FD3B68">
              <w:rPr>
                <w:rFonts w:eastAsia="DengXian" w:hint="eastAsia"/>
                <w:lang w:val="en-US" w:eastAsia="zh-CN"/>
              </w:rPr>
              <w:t>/</w:t>
            </w:r>
            <w:r w:rsidRPr="00FD3B68">
              <w:rPr>
                <w:rFonts w:eastAsia="DengXian"/>
                <w:lang w:val="en-US" w:eastAsia="zh-CN"/>
              </w:rPr>
              <w:t>categorization</w:t>
            </w:r>
            <w:r w:rsidRPr="00FD3B68">
              <w:rPr>
                <w:rFonts w:eastAsia="Times New Roman"/>
                <w:lang w:val="en-US" w:eastAsia="zh-CN"/>
              </w:rPr>
              <w:t>, [</w:t>
            </w:r>
            <w:r w:rsidRPr="00FD3B68">
              <w:rPr>
                <w:rFonts w:eastAsia="DengXian"/>
                <w:lang w:val="en-US" w:eastAsia="zh-CN"/>
              </w:rPr>
              <w:t>5</w:t>
            </w:r>
            <w:r w:rsidRPr="00FD3B68">
              <w:rPr>
                <w:rFonts w:eastAsia="Times New Roman"/>
                <w:lang w:val="en-US" w:eastAsia="zh-CN"/>
              </w:rPr>
              <w:t xml:space="preserve"> sources] provided preliminary simulation results and analysis on AI/ML for SRS</w:t>
            </w:r>
          </w:p>
          <w:p w14:paraId="39537CE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 xml:space="preserve">[5 sources] provided preliminary simulation results and analysis on low overhead SRS with AI/ML </w:t>
            </w:r>
          </w:p>
          <w:p w14:paraId="52EC8C67"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low PAPR SRS sequence design with help of AI/ML </w:t>
            </w:r>
          </w:p>
          <w:p w14:paraId="57D3325E" w14:textId="77777777" w:rsidR="00FD3B68" w:rsidRPr="00FD3B68" w:rsidRDefault="00FD3B68" w:rsidP="00FD3B68">
            <w:pPr>
              <w:widowControl w:val="0"/>
              <w:numPr>
                <w:ilvl w:val="0"/>
                <w:numId w:val="38"/>
              </w:numPr>
              <w:wordWrap w:val="0"/>
              <w:overflowPunct/>
              <w:autoSpaceDE/>
              <w:autoSpaceDN/>
              <w:adjustRightInd/>
              <w:spacing w:after="0"/>
              <w:contextualSpacing/>
              <w:jc w:val="both"/>
              <w:textAlignment w:val="auto"/>
              <w:rPr>
                <w:rFonts w:eastAsia="DengXian"/>
                <w:lang w:val="en-US" w:eastAsia="zh-CN"/>
              </w:rPr>
            </w:pPr>
            <w:r w:rsidRPr="00FD3B68">
              <w:rPr>
                <w:rFonts w:eastAsia="DengXian"/>
                <w:lang w:val="en-US" w:eastAsia="zh-CN"/>
              </w:rPr>
              <w:t>[</w:t>
            </w:r>
            <w:r w:rsidRPr="00FD3B68">
              <w:rPr>
                <w:rFonts w:eastAsia="DengXian" w:hint="eastAsia"/>
                <w:lang w:val="en-US" w:eastAsia="zh-CN"/>
              </w:rPr>
              <w:t>1</w:t>
            </w:r>
            <w:r w:rsidRPr="00FD3B68">
              <w:rPr>
                <w:rFonts w:eastAsia="DengXian"/>
                <w:lang w:val="en-US" w:eastAsia="zh-CN"/>
              </w:rPr>
              <w:t xml:space="preserve"> source</w:t>
            </w:r>
            <w:r w:rsidRPr="00FD3B68">
              <w:rPr>
                <w:rFonts w:eastAsia="DengXian" w:hint="eastAsia"/>
                <w:lang w:val="en-US" w:eastAsia="zh-CN"/>
              </w:rPr>
              <w:t>]</w:t>
            </w:r>
            <w:r w:rsidRPr="00FD3B68">
              <w:rPr>
                <w:rFonts w:eastAsia="DengXian"/>
                <w:lang w:val="en-US" w:eastAsia="zh-CN"/>
              </w:rPr>
              <w:t xml:space="preserve"> provided preliminary simulation results and initial analysis on AI/ML based SRS power imbalance compensation</w:t>
            </w:r>
          </w:p>
          <w:p w14:paraId="5C40300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D</w:t>
            </w:r>
            <w:r w:rsidRPr="00FD3B68">
              <w:rPr>
                <w:rFonts w:eastAsia="Times New Roman"/>
                <w:lang w:val="en-US" w:eastAsia="zh-CN"/>
              </w:rPr>
              <w:t>etailed evaluation assumptions (model input/output/label/KPI/benchmark) and analysis in Table H.</w:t>
            </w:r>
          </w:p>
          <w:p w14:paraId="257EEA90"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Note: whether/how to capture the observation in the TR is a separate discussion.</w:t>
            </w:r>
          </w:p>
          <w:p w14:paraId="10F95960" w14:textId="77777777" w:rsidR="00FD3B68" w:rsidRPr="00FD3B68" w:rsidRDefault="00FD3B68" w:rsidP="00FD3B68">
            <w:pPr>
              <w:overflowPunct/>
              <w:autoSpaceDE/>
              <w:autoSpaceDN/>
              <w:adjustRightInd/>
              <w:spacing w:after="0"/>
              <w:jc w:val="both"/>
              <w:textAlignment w:val="auto"/>
              <w:rPr>
                <w:rFonts w:eastAsia="DengXian"/>
                <w:lang w:val="en-US" w:eastAsia="zh-CN"/>
              </w:rPr>
            </w:pPr>
          </w:p>
          <w:p w14:paraId="48E6812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Table H AI/ML for SRS</w:t>
            </w:r>
          </w:p>
          <w:tbl>
            <w:tblPr>
              <w:tblW w:w="5000" w:type="pct"/>
              <w:tblLook w:val="04A0" w:firstRow="1" w:lastRow="0" w:firstColumn="1" w:lastColumn="0" w:noHBand="0" w:noVBand="1"/>
            </w:tblPr>
            <w:tblGrid>
              <w:gridCol w:w="2227"/>
              <w:gridCol w:w="2531"/>
              <w:gridCol w:w="2489"/>
              <w:gridCol w:w="2489"/>
            </w:tblGrid>
            <w:tr w:rsidR="00FD3B68" w:rsidRPr="00FD3B68" w14:paraId="2EED7D1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AEAAAA"/>
                </w:tcPr>
                <w:p w14:paraId="4DF5A7BC"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U</w:t>
                  </w:r>
                  <w:r w:rsidRPr="00FD3B68">
                    <w:rPr>
                      <w:rFonts w:eastAsia="DengXian"/>
                      <w:lang w:val="en-US" w:eastAsia="zh-CN"/>
                    </w:rPr>
                    <w:t>se case</w:t>
                  </w:r>
                </w:p>
              </w:tc>
              <w:tc>
                <w:tcPr>
                  <w:tcW w:w="1365" w:type="pct"/>
                  <w:tcBorders>
                    <w:top w:val="single" w:sz="4" w:space="0" w:color="auto"/>
                    <w:left w:val="single" w:sz="4" w:space="0" w:color="auto"/>
                    <w:bottom w:val="single" w:sz="4" w:space="0" w:color="auto"/>
                    <w:right w:val="single" w:sz="4" w:space="0" w:color="auto"/>
                  </w:tcBorders>
                  <w:shd w:val="clear" w:color="auto" w:fill="AEAAAA"/>
                </w:tcPr>
                <w:p w14:paraId="6430A6B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Sub-Case A: Low overhead SRS with AI/ML</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3978CF5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B: Low PAPR SRS sequence design</w:t>
                  </w:r>
                </w:p>
              </w:tc>
              <w:tc>
                <w:tcPr>
                  <w:tcW w:w="1343" w:type="pct"/>
                  <w:tcBorders>
                    <w:top w:val="single" w:sz="4" w:space="0" w:color="auto"/>
                    <w:left w:val="single" w:sz="4" w:space="0" w:color="auto"/>
                    <w:bottom w:val="single" w:sz="4" w:space="0" w:color="auto"/>
                    <w:right w:val="single" w:sz="4" w:space="0" w:color="auto"/>
                  </w:tcBorders>
                  <w:shd w:val="clear" w:color="auto" w:fill="AEAAAA"/>
                </w:tcPr>
                <w:p w14:paraId="6AB7F98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Sub-Case C: AI/ML based SRS power imbalance compensation</w:t>
                  </w:r>
                </w:p>
              </w:tc>
            </w:tr>
            <w:tr w:rsidR="00FD3B68" w:rsidRPr="00FD3B68" w14:paraId="1DD9ED8A" w14:textId="77777777" w:rsidTr="00F1133D">
              <w:tc>
                <w:tcPr>
                  <w:tcW w:w="949" w:type="pct"/>
                  <w:tcBorders>
                    <w:top w:val="single" w:sz="4" w:space="0" w:color="auto"/>
                    <w:left w:val="single" w:sz="4" w:space="0" w:color="auto"/>
                    <w:bottom w:val="single" w:sz="4" w:space="0" w:color="auto"/>
                    <w:right w:val="single" w:sz="4" w:space="0" w:color="auto"/>
                  </w:tcBorders>
                  <w:shd w:val="clear" w:color="auto" w:fill="C5E0B3"/>
                </w:tcPr>
                <w:p w14:paraId="67E510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Reported companies</w:t>
                  </w:r>
                </w:p>
              </w:tc>
              <w:tc>
                <w:tcPr>
                  <w:tcW w:w="1365" w:type="pct"/>
                  <w:tcBorders>
                    <w:top w:val="single" w:sz="4" w:space="0" w:color="auto"/>
                    <w:left w:val="single" w:sz="4" w:space="0" w:color="auto"/>
                    <w:bottom w:val="single" w:sz="4" w:space="0" w:color="auto"/>
                    <w:right w:val="single" w:sz="4" w:space="0" w:color="auto"/>
                  </w:tcBorders>
                  <w:shd w:val="clear" w:color="auto" w:fill="C5E0B3"/>
                </w:tcPr>
                <w:p w14:paraId="59C95269" w14:textId="77777777" w:rsidR="00FD3B68" w:rsidRPr="00FD3B68" w:rsidRDefault="00FD3B68" w:rsidP="00FD3B68">
                  <w:pPr>
                    <w:overflowPunct/>
                    <w:autoSpaceDE/>
                    <w:autoSpaceDN/>
                    <w:adjustRightInd/>
                    <w:spacing w:after="0"/>
                    <w:jc w:val="both"/>
                    <w:textAlignment w:val="auto"/>
                    <w:rPr>
                      <w:rFonts w:eastAsia="Times New Roman"/>
                      <w:lang w:val="pt-BR" w:eastAsia="zh-CN"/>
                    </w:rPr>
                  </w:pPr>
                  <w:r w:rsidRPr="00FD3B68">
                    <w:rPr>
                      <w:rFonts w:eastAsia="Times New Roman"/>
                      <w:lang w:val="pt-BR" w:eastAsia="zh-CN"/>
                    </w:rPr>
                    <w:t>(5) {Spreadtrum, UNISOC}, vivo, Huawei</w:t>
                  </w:r>
                  <w:r w:rsidRPr="00FD3B68">
                    <w:rPr>
                      <w:rFonts w:ascii="Times" w:eastAsia="바탕" w:hAnsi="Times"/>
                      <w:vertAlign w:val="superscript"/>
                      <w:lang w:val="pt-BR" w:eastAsia="zh-CN"/>
                    </w:rPr>
                    <w:t>1</w:t>
                  </w:r>
                  <w:r w:rsidRPr="00FD3B68">
                    <w:rPr>
                      <w:rFonts w:eastAsia="Times New Roman"/>
                      <w:lang w:val="pt-BR" w:eastAsia="zh-CN"/>
                    </w:rPr>
                    <w:t>, Kyocera, LGE</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1B6B6F3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vivo</w:t>
                  </w:r>
                </w:p>
              </w:tc>
              <w:tc>
                <w:tcPr>
                  <w:tcW w:w="1343" w:type="pct"/>
                  <w:tcBorders>
                    <w:top w:val="single" w:sz="4" w:space="0" w:color="auto"/>
                    <w:left w:val="single" w:sz="4" w:space="0" w:color="auto"/>
                    <w:bottom w:val="single" w:sz="4" w:space="0" w:color="auto"/>
                    <w:right w:val="single" w:sz="4" w:space="0" w:color="auto"/>
                  </w:tcBorders>
                  <w:shd w:val="clear" w:color="auto" w:fill="C5E0B3"/>
                </w:tcPr>
                <w:p w14:paraId="03959DF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en-GB"/>
                    </w:rPr>
                    <w:t>(1) Huawei</w:t>
                  </w:r>
                </w:p>
              </w:tc>
            </w:tr>
            <w:tr w:rsidR="00FD3B68" w:rsidRPr="00FD3B68" w14:paraId="79D4FADD" w14:textId="77777777" w:rsidTr="00F1133D">
              <w:tc>
                <w:tcPr>
                  <w:tcW w:w="949" w:type="pct"/>
                  <w:tcBorders>
                    <w:top w:val="single" w:sz="4" w:space="0" w:color="auto"/>
                    <w:left w:val="single" w:sz="4" w:space="0" w:color="auto"/>
                    <w:bottom w:val="single" w:sz="4" w:space="0" w:color="auto"/>
                    <w:right w:val="single" w:sz="4" w:space="0" w:color="auto"/>
                  </w:tcBorders>
                </w:tcPr>
                <w:p w14:paraId="4C7A94A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Model input</w:t>
                  </w:r>
                </w:p>
              </w:tc>
              <w:tc>
                <w:tcPr>
                  <w:tcW w:w="1365" w:type="pct"/>
                  <w:tcBorders>
                    <w:top w:val="single" w:sz="4" w:space="0" w:color="auto"/>
                    <w:left w:val="single" w:sz="4" w:space="0" w:color="auto"/>
                    <w:bottom w:val="single" w:sz="4" w:space="0" w:color="auto"/>
                    <w:right w:val="single" w:sz="4" w:space="0" w:color="auto"/>
                  </w:tcBorders>
                </w:tcPr>
                <w:p w14:paraId="15A6D757"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en-GB"/>
                    </w:rPr>
                    <w:t xml:space="preserve">Measurement of channel with </w:t>
                  </w:r>
                  <w:r w:rsidRPr="00FD3B68">
                    <w:rPr>
                      <w:rFonts w:eastAsia="Times New Roman" w:hint="eastAsia"/>
                      <w:lang w:val="en-US" w:eastAsia="zh-CN"/>
                    </w:rPr>
                    <w:t>low overhead</w:t>
                  </w:r>
                  <w:r w:rsidRPr="00FD3B68">
                    <w:rPr>
                      <w:rFonts w:eastAsia="Times New Roman" w:hint="eastAsia"/>
                      <w:lang w:val="en-US" w:eastAsia="en-GB"/>
                    </w:rPr>
                    <w:t xml:space="preserve"> SRS</w:t>
                  </w:r>
                  <w:r w:rsidRPr="00FD3B68">
                    <w:rPr>
                      <w:rFonts w:eastAsia="DengXian" w:hint="eastAsia"/>
                      <w:lang w:val="en-US" w:eastAsia="zh-CN"/>
                    </w:rPr>
                    <w:t xml:space="preserve"> of frequency/temporal</w:t>
                  </w:r>
                  <w:r w:rsidRPr="00FD3B68">
                    <w:rPr>
                      <w:rFonts w:eastAsia="DengXian"/>
                      <w:lang w:val="en-US" w:eastAsia="zh-CN"/>
                    </w:rPr>
                    <w:t>/spatial</w:t>
                  </w:r>
                  <w:r w:rsidRPr="00FD3B68">
                    <w:rPr>
                      <w:rFonts w:eastAsia="DengXian" w:hint="eastAsia"/>
                      <w:lang w:val="en-US" w:eastAsia="zh-CN"/>
                    </w:rPr>
                    <w:t xml:space="preserve"> domain</w:t>
                  </w:r>
                </w:p>
                <w:p w14:paraId="3C9FEF4F"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assistance info of estimated channel of DMRS</w:t>
                  </w:r>
                  <w:r w:rsidRPr="00FD3B68">
                    <w:rPr>
                      <w:rFonts w:ascii="Times" w:eastAsia="바탕" w:hAnsi="Times"/>
                      <w:vertAlign w:val="superscript"/>
                      <w:lang w:eastAsia="zh-CN"/>
                    </w:rPr>
                    <w:t>1</w:t>
                  </w:r>
                </w:p>
              </w:tc>
              <w:tc>
                <w:tcPr>
                  <w:tcW w:w="1343" w:type="pct"/>
                  <w:tcBorders>
                    <w:top w:val="single" w:sz="4" w:space="0" w:color="auto"/>
                    <w:left w:val="single" w:sz="4" w:space="0" w:color="auto"/>
                    <w:bottom w:val="single" w:sz="4" w:space="0" w:color="auto"/>
                    <w:right w:val="single" w:sz="4" w:space="0" w:color="auto"/>
                  </w:tcBorders>
                </w:tcPr>
                <w:p w14:paraId="5EAC87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hint="eastAsia"/>
                      <w:lang w:val="en-US" w:eastAsia="zh-CN"/>
                    </w:rPr>
                    <w:t>Sequence</w:t>
                  </w:r>
                  <w:r w:rsidRPr="00FD3B68">
                    <w:rPr>
                      <w:rFonts w:eastAsia="Times New Roman"/>
                      <w:lang w:val="en-US" w:eastAsia="zh-CN"/>
                    </w:rPr>
                    <w:t xml:space="preserve"> index </w:t>
                  </w:r>
                </w:p>
              </w:tc>
              <w:tc>
                <w:tcPr>
                  <w:tcW w:w="1343" w:type="pct"/>
                  <w:tcBorders>
                    <w:top w:val="single" w:sz="4" w:space="0" w:color="auto"/>
                    <w:left w:val="single" w:sz="4" w:space="0" w:color="auto"/>
                    <w:bottom w:val="single" w:sz="4" w:space="0" w:color="auto"/>
                    <w:right w:val="single" w:sz="4" w:space="0" w:color="auto"/>
                  </w:tcBorders>
                </w:tcPr>
                <w:p w14:paraId="1BCBF07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맑은 고딕"/>
                      <w:lang w:val="en-US" w:eastAsia="ko-KR"/>
                    </w:rPr>
                    <w:t>UL measured channel matrix from SRS with IL imbalance</w:t>
                  </w:r>
                </w:p>
              </w:tc>
            </w:tr>
            <w:tr w:rsidR="00FD3B68" w:rsidRPr="00FD3B68" w14:paraId="0941610E" w14:textId="77777777" w:rsidTr="00F1133D">
              <w:tc>
                <w:tcPr>
                  <w:tcW w:w="949" w:type="pct"/>
                  <w:tcBorders>
                    <w:top w:val="single" w:sz="4" w:space="0" w:color="auto"/>
                    <w:left w:val="single" w:sz="4" w:space="0" w:color="auto"/>
                    <w:bottom w:val="single" w:sz="4" w:space="0" w:color="auto"/>
                    <w:right w:val="single" w:sz="4" w:space="0" w:color="auto"/>
                  </w:tcBorders>
                </w:tcPr>
                <w:p w14:paraId="7AA8F73A"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hint="eastAsia"/>
                      <w:lang w:val="en-US" w:eastAsia="zh-CN"/>
                    </w:rPr>
                    <w:t>Model output</w:t>
                  </w:r>
                  <w:r w:rsidRPr="00FD3B68">
                    <w:rPr>
                      <w:rFonts w:eastAsia="Times New Roman"/>
                      <w:lang w:val="en-US" w:eastAsia="zh-CN"/>
                    </w:rPr>
                    <w:t xml:space="preserve"> </w:t>
                  </w:r>
                </w:p>
              </w:tc>
              <w:tc>
                <w:tcPr>
                  <w:tcW w:w="1365" w:type="pct"/>
                  <w:tcBorders>
                    <w:top w:val="single" w:sz="4" w:space="0" w:color="auto"/>
                    <w:left w:val="single" w:sz="4" w:space="0" w:color="auto"/>
                    <w:bottom w:val="single" w:sz="4" w:space="0" w:color="auto"/>
                    <w:right w:val="single" w:sz="4" w:space="0" w:color="auto"/>
                  </w:tcBorders>
                </w:tcPr>
                <w:p w14:paraId="3F217185"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Estimated channel</w:t>
                  </w:r>
                </w:p>
              </w:tc>
              <w:tc>
                <w:tcPr>
                  <w:tcW w:w="1343" w:type="pct"/>
                  <w:tcBorders>
                    <w:top w:val="single" w:sz="4" w:space="0" w:color="auto"/>
                    <w:left w:val="single" w:sz="4" w:space="0" w:color="auto"/>
                    <w:bottom w:val="single" w:sz="4" w:space="0" w:color="auto"/>
                    <w:right w:val="single" w:sz="4" w:space="0" w:color="auto"/>
                  </w:tcBorders>
                </w:tcPr>
                <w:p w14:paraId="010CC221"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Learn sequences </w:t>
                  </w:r>
                </w:p>
              </w:tc>
              <w:tc>
                <w:tcPr>
                  <w:tcW w:w="1343" w:type="pct"/>
                  <w:tcBorders>
                    <w:top w:val="single" w:sz="4" w:space="0" w:color="auto"/>
                    <w:left w:val="single" w:sz="4" w:space="0" w:color="auto"/>
                    <w:bottom w:val="single" w:sz="4" w:space="0" w:color="auto"/>
                    <w:right w:val="single" w:sz="4" w:space="0" w:color="auto"/>
                  </w:tcBorders>
                </w:tcPr>
                <w:p w14:paraId="6180120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맑은 고딕"/>
                      <w:lang w:val="en-US" w:eastAsia="ko-KR"/>
                    </w:rPr>
                    <w:t>DL channel matrix with IL compensated</w:t>
                  </w:r>
                </w:p>
              </w:tc>
            </w:tr>
            <w:tr w:rsidR="00FD3B68" w:rsidRPr="00FD3B68" w14:paraId="5E5826AC" w14:textId="77777777" w:rsidTr="00F1133D">
              <w:tc>
                <w:tcPr>
                  <w:tcW w:w="949" w:type="pct"/>
                  <w:tcBorders>
                    <w:top w:val="single" w:sz="4" w:space="0" w:color="auto"/>
                    <w:left w:val="single" w:sz="4" w:space="0" w:color="auto"/>
                    <w:bottom w:val="single" w:sz="4" w:space="0" w:color="auto"/>
                    <w:right w:val="single" w:sz="4" w:space="0" w:color="auto"/>
                  </w:tcBorders>
                </w:tcPr>
                <w:p w14:paraId="2C351D5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L</w:t>
                  </w:r>
                  <w:r w:rsidRPr="00FD3B68">
                    <w:rPr>
                      <w:rFonts w:eastAsia="DengXian"/>
                      <w:lang w:val="en-US" w:eastAsia="zh-CN"/>
                    </w:rPr>
                    <w:t>abel</w:t>
                  </w:r>
                </w:p>
              </w:tc>
              <w:tc>
                <w:tcPr>
                  <w:tcW w:w="1365" w:type="pct"/>
                  <w:tcBorders>
                    <w:top w:val="single" w:sz="4" w:space="0" w:color="auto"/>
                    <w:left w:val="single" w:sz="4" w:space="0" w:color="auto"/>
                    <w:bottom w:val="single" w:sz="4" w:space="0" w:color="auto"/>
                    <w:right w:val="single" w:sz="4" w:space="0" w:color="auto"/>
                  </w:tcBorders>
                </w:tcPr>
                <w:p w14:paraId="0CB388D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Ideal channel information</w:t>
                  </w:r>
                </w:p>
              </w:tc>
              <w:tc>
                <w:tcPr>
                  <w:tcW w:w="1343" w:type="pct"/>
                  <w:tcBorders>
                    <w:top w:val="single" w:sz="4" w:space="0" w:color="auto"/>
                    <w:left w:val="single" w:sz="4" w:space="0" w:color="auto"/>
                    <w:bottom w:val="single" w:sz="4" w:space="0" w:color="auto"/>
                    <w:right w:val="single" w:sz="4" w:space="0" w:color="auto"/>
                  </w:tcBorders>
                </w:tcPr>
                <w:p w14:paraId="5E95921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Label free</w:t>
                  </w:r>
                </w:p>
              </w:tc>
              <w:tc>
                <w:tcPr>
                  <w:tcW w:w="1343" w:type="pct"/>
                  <w:tcBorders>
                    <w:top w:val="single" w:sz="4" w:space="0" w:color="auto"/>
                    <w:left w:val="single" w:sz="4" w:space="0" w:color="auto"/>
                    <w:bottom w:val="single" w:sz="4" w:space="0" w:color="auto"/>
                    <w:right w:val="single" w:sz="4" w:space="0" w:color="auto"/>
                  </w:tcBorders>
                </w:tcPr>
                <w:p w14:paraId="2B11A0F2"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UL SRS measurement without IL </w:t>
                  </w:r>
                  <w:r w:rsidRPr="00FD3B68">
                    <w:rPr>
                      <w:rFonts w:eastAsia="DengXian" w:hint="eastAsia"/>
                      <w:lang w:val="en-US" w:eastAsia="zh-CN"/>
                    </w:rPr>
                    <w:t>(</w:t>
                  </w:r>
                  <w:r w:rsidRPr="00FD3B68">
                    <w:rPr>
                      <w:rFonts w:eastAsia="DengXian"/>
                      <w:lang w:val="en-US" w:eastAsia="zh-CN"/>
                    </w:rPr>
                    <w:t>assuming it is compensated by UE at certain conditions) or DL CSI-RS measurement</w:t>
                  </w:r>
                </w:p>
              </w:tc>
            </w:tr>
            <w:tr w:rsidR="00FD3B68" w:rsidRPr="00FD3B68" w14:paraId="4FD2C763" w14:textId="77777777" w:rsidTr="00F1133D">
              <w:tc>
                <w:tcPr>
                  <w:tcW w:w="949" w:type="pct"/>
                  <w:tcBorders>
                    <w:top w:val="single" w:sz="4" w:space="0" w:color="auto"/>
                    <w:left w:val="single" w:sz="4" w:space="0" w:color="auto"/>
                    <w:bottom w:val="single" w:sz="4" w:space="0" w:color="auto"/>
                    <w:right w:val="single" w:sz="4" w:space="0" w:color="auto"/>
                  </w:tcBorders>
                </w:tcPr>
                <w:p w14:paraId="76D08E9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t>T</w:t>
                  </w:r>
                  <w:r w:rsidRPr="00FD3B68">
                    <w:rPr>
                      <w:rFonts w:eastAsia="DengXian"/>
                      <w:lang w:val="en-US" w:eastAsia="zh-CN"/>
                    </w:rPr>
                    <w:t>raining types</w:t>
                  </w:r>
                </w:p>
              </w:tc>
              <w:tc>
                <w:tcPr>
                  <w:tcW w:w="1365" w:type="pct"/>
                  <w:tcBorders>
                    <w:top w:val="single" w:sz="4" w:space="0" w:color="auto"/>
                    <w:left w:val="single" w:sz="4" w:space="0" w:color="auto"/>
                    <w:bottom w:val="single" w:sz="4" w:space="0" w:color="auto"/>
                    <w:right w:val="single" w:sz="4" w:space="0" w:color="auto"/>
                  </w:tcBorders>
                </w:tcPr>
                <w:p w14:paraId="39FC201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1867B9F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Offline training</w:t>
                  </w:r>
                </w:p>
              </w:tc>
              <w:tc>
                <w:tcPr>
                  <w:tcW w:w="1343" w:type="pct"/>
                  <w:tcBorders>
                    <w:top w:val="single" w:sz="4" w:space="0" w:color="auto"/>
                    <w:left w:val="single" w:sz="4" w:space="0" w:color="auto"/>
                    <w:bottom w:val="single" w:sz="4" w:space="0" w:color="auto"/>
                    <w:right w:val="single" w:sz="4" w:space="0" w:color="auto"/>
                  </w:tcBorders>
                </w:tcPr>
                <w:p w14:paraId="5E57227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hint="eastAsia"/>
                      <w:lang w:val="en-US" w:eastAsia="zh-CN"/>
                    </w:rPr>
                    <w:t>offline training</w:t>
                  </w:r>
                </w:p>
              </w:tc>
            </w:tr>
            <w:tr w:rsidR="00FD3B68" w:rsidRPr="00FD3B68" w14:paraId="14536908" w14:textId="77777777" w:rsidTr="00F1133D">
              <w:tc>
                <w:tcPr>
                  <w:tcW w:w="949" w:type="pct"/>
                  <w:tcBorders>
                    <w:top w:val="single" w:sz="4" w:space="0" w:color="auto"/>
                    <w:left w:val="single" w:sz="4" w:space="0" w:color="auto"/>
                    <w:bottom w:val="single" w:sz="4" w:space="0" w:color="auto"/>
                    <w:right w:val="single" w:sz="4" w:space="0" w:color="auto"/>
                  </w:tcBorders>
                </w:tcPr>
                <w:p w14:paraId="643800B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hint="eastAsia"/>
                      <w:lang w:val="en-US" w:eastAsia="zh-CN"/>
                    </w:rPr>
                    <w:lastRenderedPageBreak/>
                    <w:t>K</w:t>
                  </w:r>
                  <w:r w:rsidRPr="00FD3B68">
                    <w:rPr>
                      <w:rFonts w:eastAsia="DengXian"/>
                      <w:lang w:val="en-US" w:eastAsia="zh-CN"/>
                    </w:rPr>
                    <w:t>PI</w:t>
                  </w:r>
                </w:p>
              </w:tc>
              <w:tc>
                <w:tcPr>
                  <w:tcW w:w="1365" w:type="pct"/>
                  <w:tcBorders>
                    <w:top w:val="single" w:sz="4" w:space="0" w:color="auto"/>
                    <w:left w:val="single" w:sz="4" w:space="0" w:color="auto"/>
                    <w:bottom w:val="single" w:sz="4" w:space="0" w:color="auto"/>
                    <w:right w:val="single" w:sz="4" w:space="0" w:color="auto"/>
                  </w:tcBorders>
                </w:tcPr>
                <w:p w14:paraId="5380984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DengXian"/>
                      <w:lang w:val="en-US" w:eastAsia="zh-CN"/>
                    </w:rPr>
                    <w:t>SCGS, throughput</w:t>
                  </w:r>
                </w:p>
              </w:tc>
              <w:tc>
                <w:tcPr>
                  <w:tcW w:w="1343" w:type="pct"/>
                  <w:tcBorders>
                    <w:top w:val="single" w:sz="4" w:space="0" w:color="auto"/>
                    <w:left w:val="single" w:sz="4" w:space="0" w:color="auto"/>
                    <w:bottom w:val="single" w:sz="4" w:space="0" w:color="auto"/>
                    <w:right w:val="single" w:sz="4" w:space="0" w:color="auto"/>
                  </w:tcBorders>
                </w:tcPr>
                <w:p w14:paraId="075F3BFB"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PAPR, SGCS, Cross-correlation between SRS sequences</w:t>
                  </w:r>
                </w:p>
              </w:tc>
              <w:tc>
                <w:tcPr>
                  <w:tcW w:w="1343" w:type="pct"/>
                  <w:tcBorders>
                    <w:top w:val="single" w:sz="4" w:space="0" w:color="auto"/>
                    <w:left w:val="single" w:sz="4" w:space="0" w:color="auto"/>
                    <w:bottom w:val="single" w:sz="4" w:space="0" w:color="auto"/>
                    <w:right w:val="single" w:sz="4" w:space="0" w:color="auto"/>
                  </w:tcBorders>
                </w:tcPr>
                <w:p w14:paraId="6B8CD1A4"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SGCS</w:t>
                  </w:r>
                </w:p>
              </w:tc>
            </w:tr>
            <w:tr w:rsidR="00FD3B68" w:rsidRPr="00FD3B68" w14:paraId="3947D57F" w14:textId="77777777" w:rsidTr="00A504E1">
              <w:tc>
                <w:tcPr>
                  <w:tcW w:w="949" w:type="pct"/>
                  <w:tcBorders>
                    <w:top w:val="single" w:sz="4" w:space="0" w:color="auto"/>
                    <w:left w:val="single" w:sz="4" w:space="0" w:color="auto"/>
                    <w:bottom w:val="single" w:sz="4" w:space="0" w:color="auto"/>
                    <w:right w:val="single" w:sz="4" w:space="0" w:color="auto"/>
                  </w:tcBorders>
                </w:tcPr>
                <w:p w14:paraId="5EF11379" w14:textId="77777777" w:rsidR="00FD3B68" w:rsidRPr="00FD3B68" w:rsidRDefault="00FD3B68" w:rsidP="00A504E1">
                  <w:pPr>
                    <w:overflowPunct/>
                    <w:autoSpaceDE/>
                    <w:autoSpaceDN/>
                    <w:adjustRightInd/>
                    <w:spacing w:after="0"/>
                    <w:jc w:val="both"/>
                    <w:textAlignment w:val="auto"/>
                    <w:rPr>
                      <w:rFonts w:eastAsia="DengXian"/>
                      <w:lang w:val="en-US" w:eastAsia="zh-CN"/>
                    </w:rPr>
                  </w:pPr>
                  <w:r w:rsidRPr="00FD3B68">
                    <w:rPr>
                      <w:rFonts w:eastAsia="Times New Roman"/>
                      <w:lang w:val="en-US" w:eastAsia="zh-CN"/>
                    </w:rPr>
                    <w:t>Benchmark</w:t>
                  </w:r>
                </w:p>
              </w:tc>
              <w:tc>
                <w:tcPr>
                  <w:tcW w:w="1365" w:type="pct"/>
                  <w:tcBorders>
                    <w:top w:val="single" w:sz="4" w:space="0" w:color="auto"/>
                    <w:left w:val="single" w:sz="4" w:space="0" w:color="auto"/>
                    <w:bottom w:val="single" w:sz="4" w:space="0" w:color="auto"/>
                    <w:right w:val="single" w:sz="4" w:space="0" w:color="auto"/>
                  </w:tcBorders>
                </w:tcPr>
                <w:p w14:paraId="6184F24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legacy SRS</w:t>
                  </w:r>
                </w:p>
                <w:p w14:paraId="44508303"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 ideal channel information</w:t>
                  </w:r>
                </w:p>
              </w:tc>
              <w:tc>
                <w:tcPr>
                  <w:tcW w:w="1343" w:type="pct"/>
                  <w:tcBorders>
                    <w:top w:val="single" w:sz="4" w:space="0" w:color="auto"/>
                    <w:left w:val="single" w:sz="4" w:space="0" w:color="auto"/>
                    <w:bottom w:val="single" w:sz="4" w:space="0" w:color="auto"/>
                    <w:right w:val="single" w:sz="4" w:space="0" w:color="auto"/>
                  </w:tcBorders>
                </w:tcPr>
                <w:p w14:paraId="5FBEDA69"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Legacy SRS sequence</w:t>
                  </w:r>
                </w:p>
              </w:tc>
              <w:tc>
                <w:tcPr>
                  <w:tcW w:w="1343" w:type="pct"/>
                  <w:tcBorders>
                    <w:top w:val="single" w:sz="4" w:space="0" w:color="auto"/>
                    <w:left w:val="single" w:sz="4" w:space="0" w:color="auto"/>
                    <w:bottom w:val="single" w:sz="4" w:space="0" w:color="auto"/>
                    <w:right w:val="single" w:sz="4" w:space="0" w:color="auto"/>
                  </w:tcBorders>
                </w:tcPr>
                <w:p w14:paraId="37CDE38F"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 SRS without IL </w:t>
                  </w:r>
                  <w:proofErr w:type="gramStart"/>
                  <w:r w:rsidRPr="00FD3B68">
                    <w:rPr>
                      <w:rFonts w:eastAsia="Times New Roman"/>
                      <w:lang w:val="en-US" w:eastAsia="zh-CN"/>
                    </w:rPr>
                    <w:t>imbalance;</w:t>
                  </w:r>
                  <w:proofErr w:type="gramEnd"/>
                  <w:r w:rsidRPr="00FD3B68">
                    <w:rPr>
                      <w:rFonts w:eastAsia="Times New Roman"/>
                      <w:lang w:val="en-US" w:eastAsia="zh-CN"/>
                    </w:rPr>
                    <w:t xml:space="preserve"> </w:t>
                  </w:r>
                </w:p>
                <w:p w14:paraId="709FB0A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 non-AI based SRS IL imbalance compensation</w:t>
                  </w:r>
                </w:p>
              </w:tc>
            </w:tr>
            <w:tr w:rsidR="00FD3B68" w:rsidRPr="00FD3B68" w14:paraId="543829B3" w14:textId="77777777" w:rsidTr="00F1133D">
              <w:tc>
                <w:tcPr>
                  <w:tcW w:w="949" w:type="pct"/>
                  <w:tcBorders>
                    <w:top w:val="single" w:sz="4" w:space="0" w:color="auto"/>
                    <w:left w:val="single" w:sz="4" w:space="0" w:color="auto"/>
                    <w:bottom w:val="single" w:sz="4" w:space="0" w:color="auto"/>
                    <w:right w:val="single" w:sz="4" w:space="0" w:color="auto"/>
                  </w:tcBorders>
                </w:tcPr>
                <w:p w14:paraId="13D64E38"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Model location for inference</w:t>
                  </w:r>
                </w:p>
              </w:tc>
              <w:tc>
                <w:tcPr>
                  <w:tcW w:w="1365" w:type="pct"/>
                  <w:tcBorders>
                    <w:top w:val="single" w:sz="4" w:space="0" w:color="auto"/>
                    <w:left w:val="single" w:sz="4" w:space="0" w:color="auto"/>
                    <w:bottom w:val="single" w:sz="4" w:space="0" w:color="auto"/>
                    <w:right w:val="single" w:sz="4" w:space="0" w:color="auto"/>
                  </w:tcBorders>
                </w:tcPr>
                <w:p w14:paraId="1F836F1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tc>
              <w:tc>
                <w:tcPr>
                  <w:tcW w:w="1343" w:type="pct"/>
                  <w:tcBorders>
                    <w:top w:val="single" w:sz="4" w:space="0" w:color="auto"/>
                    <w:left w:val="single" w:sz="4" w:space="0" w:color="auto"/>
                    <w:bottom w:val="single" w:sz="4" w:space="0" w:color="auto"/>
                    <w:right w:val="single" w:sz="4" w:space="0" w:color="auto"/>
                  </w:tcBorders>
                </w:tcPr>
                <w:p w14:paraId="1049C0C4"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NW-sided model</w:t>
                  </w:r>
                </w:p>
                <w:p w14:paraId="7874D8E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or </w:t>
                  </w:r>
                </w:p>
                <w:p w14:paraId="35B1C42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Without model for inference</w:t>
                  </w:r>
                </w:p>
              </w:tc>
              <w:tc>
                <w:tcPr>
                  <w:tcW w:w="1343" w:type="pct"/>
                  <w:tcBorders>
                    <w:top w:val="single" w:sz="4" w:space="0" w:color="auto"/>
                    <w:left w:val="single" w:sz="4" w:space="0" w:color="auto"/>
                    <w:bottom w:val="single" w:sz="4" w:space="0" w:color="auto"/>
                    <w:right w:val="single" w:sz="4" w:space="0" w:color="auto"/>
                  </w:tcBorders>
                </w:tcPr>
                <w:p w14:paraId="7FBEC27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NW-</w:t>
                  </w:r>
                  <w:r w:rsidRPr="00FD3B68">
                    <w:rPr>
                      <w:rFonts w:eastAsia="Times New Roman" w:hint="eastAsia"/>
                      <w:lang w:val="en-US" w:eastAsia="zh-CN"/>
                    </w:rPr>
                    <w:t>sided model</w:t>
                  </w:r>
                </w:p>
              </w:tc>
            </w:tr>
            <w:tr w:rsidR="00FD3B68" w:rsidRPr="00FD3B68" w14:paraId="158D7C06" w14:textId="77777777" w:rsidTr="00F1133D">
              <w:trPr>
                <w:trHeight w:val="548"/>
              </w:trPr>
              <w:tc>
                <w:tcPr>
                  <w:tcW w:w="949" w:type="pct"/>
                  <w:tcBorders>
                    <w:top w:val="single" w:sz="4" w:space="0" w:color="auto"/>
                    <w:left w:val="single" w:sz="4" w:space="0" w:color="auto"/>
                    <w:bottom w:val="single" w:sz="4" w:space="0" w:color="auto"/>
                    <w:right w:val="single" w:sz="4" w:space="0" w:color="auto"/>
                  </w:tcBorders>
                </w:tcPr>
                <w:p w14:paraId="09A48E46"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Collaboration/interaction between UE and NW</w:t>
                  </w:r>
                </w:p>
              </w:tc>
              <w:tc>
                <w:tcPr>
                  <w:tcW w:w="1365" w:type="pct"/>
                  <w:tcBorders>
                    <w:top w:val="single" w:sz="4" w:space="0" w:color="auto"/>
                    <w:left w:val="single" w:sz="4" w:space="0" w:color="auto"/>
                    <w:bottom w:val="single" w:sz="4" w:space="0" w:color="auto"/>
                    <w:right w:val="single" w:sz="4" w:space="0" w:color="auto"/>
                  </w:tcBorders>
                </w:tcPr>
                <w:p w14:paraId="08F2C98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652A1F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No collaboration for no model</w:t>
                  </w:r>
                </w:p>
                <w:p w14:paraId="1C047B35"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zh-CN"/>
                    </w:rPr>
                    <w:t>Similar to</w:t>
                  </w:r>
                  <w:proofErr w:type="gramEnd"/>
                  <w:r w:rsidRPr="00FD3B68">
                    <w:rPr>
                      <w:rFonts w:eastAsia="Times New Roman"/>
                      <w:lang w:val="en-US" w:eastAsia="zh-CN"/>
                    </w:rPr>
                    <w:t xml:space="preserve"> NW-sided model in NR</w:t>
                  </w:r>
                </w:p>
              </w:tc>
              <w:tc>
                <w:tcPr>
                  <w:tcW w:w="1343" w:type="pct"/>
                  <w:tcBorders>
                    <w:top w:val="single" w:sz="4" w:space="0" w:color="auto"/>
                    <w:left w:val="single" w:sz="4" w:space="0" w:color="auto"/>
                    <w:bottom w:val="single" w:sz="4" w:space="0" w:color="auto"/>
                    <w:right w:val="single" w:sz="4" w:space="0" w:color="auto"/>
                  </w:tcBorders>
                </w:tcPr>
                <w:p w14:paraId="72F7553A"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proofErr w:type="gramStart"/>
                  <w:r w:rsidRPr="00FD3B68">
                    <w:rPr>
                      <w:rFonts w:eastAsia="Times New Roman"/>
                      <w:lang w:val="en-US" w:eastAsia="en-GB"/>
                    </w:rPr>
                    <w:t>Similar to</w:t>
                  </w:r>
                  <w:proofErr w:type="gramEnd"/>
                  <w:r w:rsidRPr="00FD3B68">
                    <w:rPr>
                      <w:rFonts w:eastAsia="Times New Roman"/>
                      <w:lang w:val="en-US" w:eastAsia="en-GB"/>
                    </w:rPr>
                    <w:t xml:space="preserve"> NW-sided model in NR</w:t>
                  </w:r>
                </w:p>
              </w:tc>
            </w:tr>
            <w:tr w:rsidR="00FD3B68" w:rsidRPr="00FD3B68" w14:paraId="54FD5A8B" w14:textId="77777777" w:rsidTr="00F1133D">
              <w:trPr>
                <w:trHeight w:val="248"/>
              </w:trPr>
              <w:tc>
                <w:tcPr>
                  <w:tcW w:w="949" w:type="pct"/>
                  <w:tcBorders>
                    <w:top w:val="single" w:sz="4" w:space="0" w:color="auto"/>
                    <w:left w:val="single" w:sz="4" w:space="0" w:color="auto"/>
                    <w:bottom w:val="single" w:sz="4" w:space="0" w:color="auto"/>
                    <w:right w:val="single" w:sz="4" w:space="0" w:color="auto"/>
                  </w:tcBorders>
                </w:tcPr>
                <w:p w14:paraId="6FDB9FA9"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eastAsia="DengXian"/>
                      <w:lang w:val="en-US" w:eastAsia="zh-CN"/>
                    </w:rPr>
                    <w:t>Potential specification impact</w:t>
                  </w:r>
                </w:p>
              </w:tc>
              <w:tc>
                <w:tcPr>
                  <w:tcW w:w="1365" w:type="pct"/>
                  <w:tcBorders>
                    <w:top w:val="single" w:sz="4" w:space="0" w:color="auto"/>
                    <w:left w:val="single" w:sz="4" w:space="0" w:color="auto"/>
                    <w:bottom w:val="single" w:sz="4" w:space="0" w:color="auto"/>
                    <w:right w:val="single" w:sz="4" w:space="0" w:color="auto"/>
                  </w:tcBorders>
                </w:tcPr>
                <w:p w14:paraId="5788FA0C"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1.Sparse SRS design </w:t>
                  </w:r>
                </w:p>
                <w:p w14:paraId="3CED8EAD" w14:textId="77777777" w:rsidR="00FD3B68" w:rsidRPr="00FD3B68" w:rsidRDefault="00FD3B68" w:rsidP="00FD3B68">
                  <w:pPr>
                    <w:overflowPunct/>
                    <w:autoSpaceDE/>
                    <w:autoSpaceDN/>
                    <w:adjustRightInd/>
                    <w:spacing w:after="0"/>
                    <w:jc w:val="both"/>
                    <w:textAlignment w:val="auto"/>
                    <w:rPr>
                      <w:rFonts w:eastAsia="DengXian"/>
                      <w:lang w:val="en-US" w:eastAsia="zh-CN"/>
                    </w:rPr>
                  </w:pPr>
                  <w:r w:rsidRPr="00FD3B68">
                    <w:rPr>
                      <w:rFonts w:ascii="Times" w:eastAsia="DengXian" w:hAnsi="Times"/>
                      <w:lang w:eastAsia="zh-CN"/>
                    </w:rPr>
                    <w:t>1a. Indication of the association between DMRS port and SRS port</w:t>
                  </w:r>
                  <w:r w:rsidRPr="00FD3B68">
                    <w:rPr>
                      <w:rFonts w:ascii="Times" w:eastAsia="바탕" w:hAnsi="Times"/>
                      <w:vertAlign w:val="superscript"/>
                      <w:lang w:eastAsia="zh-CN"/>
                    </w:rPr>
                    <w:t>1</w:t>
                  </w:r>
                </w:p>
                <w:p w14:paraId="00876768"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w:t>
                  </w:r>
                </w:p>
              </w:tc>
              <w:tc>
                <w:tcPr>
                  <w:tcW w:w="1343" w:type="pct"/>
                  <w:tcBorders>
                    <w:top w:val="single" w:sz="4" w:space="0" w:color="auto"/>
                    <w:left w:val="single" w:sz="4" w:space="0" w:color="auto"/>
                    <w:bottom w:val="single" w:sz="4" w:space="0" w:color="auto"/>
                    <w:right w:val="single" w:sz="4" w:space="0" w:color="auto"/>
                  </w:tcBorders>
                </w:tcPr>
                <w:p w14:paraId="6596AB1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SRS design</w:t>
                  </w:r>
                </w:p>
                <w:p w14:paraId="602F696D"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2. Signaling/procedure related to </w:t>
                  </w:r>
                  <w:proofErr w:type="spellStart"/>
                  <w:r w:rsidRPr="00FD3B68">
                    <w:rPr>
                      <w:rFonts w:eastAsia="Times New Roman"/>
                      <w:lang w:val="en-US" w:eastAsia="zh-CN"/>
                    </w:rPr>
                    <w:t>DLable</w:t>
                  </w:r>
                  <w:proofErr w:type="spellEnd"/>
                  <w:r w:rsidRPr="00FD3B68">
                    <w:rPr>
                      <w:rFonts w:eastAsia="Times New Roman"/>
                      <w:lang w:val="en-US" w:eastAsia="zh-CN"/>
                    </w:rPr>
                    <w:t>/</w:t>
                  </w:r>
                  <w:proofErr w:type="spellStart"/>
                  <w:r w:rsidRPr="00FD3B68">
                    <w:rPr>
                      <w:rFonts w:eastAsia="Times New Roman"/>
                      <w:lang w:val="en-US" w:eastAsia="zh-CN"/>
                    </w:rPr>
                    <w:t>ULable</w:t>
                  </w:r>
                  <w:proofErr w:type="spellEnd"/>
                  <w:r w:rsidRPr="00FD3B68">
                    <w:rPr>
                      <w:rFonts w:eastAsia="Times New Roman"/>
                      <w:lang w:val="en-US" w:eastAsia="zh-CN"/>
                    </w:rPr>
                    <w:t xml:space="preserve"> SRS sequence, when applicable</w:t>
                  </w:r>
                </w:p>
                <w:p w14:paraId="15EC6380"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 xml:space="preserve">3. </w:t>
                  </w:r>
                  <w:proofErr w:type="spellStart"/>
                  <w:r w:rsidRPr="00FD3B68">
                    <w:rPr>
                      <w:rFonts w:eastAsia="Times New Roman"/>
                      <w:lang w:val="en-US" w:eastAsia="zh-CN"/>
                    </w:rPr>
                    <w:t>Signalling</w:t>
                  </w:r>
                  <w:proofErr w:type="spellEnd"/>
                  <w:r w:rsidRPr="00FD3B68">
                    <w:rPr>
                      <w:rFonts w:eastAsia="Times New Roman"/>
                      <w:lang w:val="en-US" w:eastAsia="zh-CN"/>
                    </w:rPr>
                    <w:t>/ procedure related to LCM for NW-sided model, when applicable</w:t>
                  </w:r>
                </w:p>
              </w:tc>
              <w:tc>
                <w:tcPr>
                  <w:tcW w:w="1343" w:type="pct"/>
                  <w:tcBorders>
                    <w:top w:val="single" w:sz="4" w:space="0" w:color="auto"/>
                    <w:left w:val="single" w:sz="4" w:space="0" w:color="auto"/>
                    <w:bottom w:val="single" w:sz="4" w:space="0" w:color="auto"/>
                    <w:right w:val="single" w:sz="4" w:space="0" w:color="auto"/>
                  </w:tcBorders>
                </w:tcPr>
                <w:p w14:paraId="28B1E45E"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1. Inference: UE reporting on the IL range for ensuring generalization</w:t>
                  </w:r>
                </w:p>
                <w:p w14:paraId="4B92ACD6" w14:textId="77777777" w:rsidR="00FD3B68" w:rsidRPr="00FD3B68" w:rsidRDefault="00FD3B68" w:rsidP="00FD3B68">
                  <w:pPr>
                    <w:overflowPunct/>
                    <w:autoSpaceDE/>
                    <w:autoSpaceDN/>
                    <w:adjustRightInd/>
                    <w:spacing w:after="0"/>
                    <w:jc w:val="both"/>
                    <w:textAlignment w:val="auto"/>
                    <w:rPr>
                      <w:rFonts w:eastAsia="Times New Roman"/>
                      <w:lang w:val="en-US" w:eastAsia="zh-CN"/>
                    </w:rPr>
                  </w:pPr>
                  <w:r w:rsidRPr="00FD3B68">
                    <w:rPr>
                      <w:rFonts w:eastAsia="Times New Roman"/>
                      <w:lang w:val="en-US" w:eastAsia="zh-CN"/>
                    </w:rPr>
                    <w:t>2.</w:t>
                  </w:r>
                  <w:r w:rsidRPr="00FD3B68">
                    <w:rPr>
                      <w:rFonts w:eastAsia="Times New Roman"/>
                      <w:lang w:val="en-US" w:eastAsia="en-GB"/>
                    </w:rPr>
                    <w:t xml:space="preserve"> </w:t>
                  </w:r>
                  <w:proofErr w:type="spellStart"/>
                  <w:r w:rsidRPr="00FD3B68">
                    <w:rPr>
                      <w:rFonts w:eastAsia="Times New Roman"/>
                      <w:lang w:val="en-US" w:eastAsia="en-GB"/>
                    </w:rPr>
                    <w:t>Signalling</w:t>
                  </w:r>
                  <w:proofErr w:type="spellEnd"/>
                  <w:r w:rsidRPr="00FD3B68">
                    <w:rPr>
                      <w:rFonts w:eastAsia="Times New Roman"/>
                      <w:lang w:val="en-US" w:eastAsia="zh-CN"/>
                    </w:rPr>
                    <w:t>/procedure related to LCM for NW-sided model</w:t>
                  </w:r>
                </w:p>
              </w:tc>
            </w:tr>
          </w:tbl>
          <w:p w14:paraId="460EE7E2" w14:textId="77777777" w:rsidR="00FD3B68" w:rsidRDefault="00FD3B68" w:rsidP="00755396">
            <w:pPr>
              <w:spacing w:after="0" w:line="276" w:lineRule="auto"/>
              <w:jc w:val="both"/>
              <w:rPr>
                <w:rFonts w:eastAsia="맑은 고딕"/>
                <w:sz w:val="22"/>
                <w:szCs w:val="22"/>
                <w:lang w:eastAsia="ko-KR"/>
              </w:rPr>
            </w:pPr>
          </w:p>
        </w:tc>
      </w:tr>
    </w:tbl>
    <w:p w14:paraId="0B858A77" w14:textId="77777777" w:rsidR="00755396" w:rsidRPr="00FD3B68" w:rsidRDefault="00755396" w:rsidP="00755396">
      <w:pPr>
        <w:spacing w:after="0" w:line="276" w:lineRule="auto"/>
        <w:jc w:val="both"/>
        <w:rPr>
          <w:rFonts w:eastAsia="맑은 고딕"/>
          <w:sz w:val="22"/>
          <w:szCs w:val="22"/>
          <w:lang w:eastAsia="ko-KR"/>
        </w:rPr>
      </w:pPr>
    </w:p>
    <w:p w14:paraId="08D7F0AF" w14:textId="58DF08FD" w:rsidR="00646867" w:rsidRDefault="3D92A436" w:rsidP="6C9E774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As mentioned at the beginning of Section 2, to overcome the physical scaling limits for traditional sounding, AI/ML-based SRS enhancements (e.g., Sub-use case A) can leverage spatial and frequency correlation to reconstruct full-dimensional CSI from sparse measurement. The primary focus is on overhead reduction via sparse SRS and channel reconstruction. While traditional methods rely on linear interpolation that fails to meet accuracy requirements in sparse scenarios, AI/ML models can capture complex spatial and frequency correlation patterns. By training paired the sparse SRS and monitoring SRS (e.g., full-density SRS), an AI/ML model can efficiently fill in unmeasured channel information from SRS transmitted only on a subset of antenna ports or </w:t>
      </w:r>
      <w:proofErr w:type="spellStart"/>
      <w:r w:rsidRPr="3D92A436">
        <w:rPr>
          <w:rFonts w:eastAsia="맑은 고딕"/>
          <w:sz w:val="22"/>
          <w:szCs w:val="22"/>
          <w:lang w:eastAsia="ko-KR"/>
        </w:rPr>
        <w:t>subbands</w:t>
      </w:r>
      <w:proofErr w:type="spellEnd"/>
      <w:r w:rsidRPr="3D92A436">
        <w:rPr>
          <w:rFonts w:eastAsia="맑은 고딕"/>
          <w:sz w:val="22"/>
          <w:szCs w:val="22"/>
          <w:lang w:eastAsia="ko-KR"/>
        </w:rPr>
        <w:t xml:space="preserve">. Furthermore, the AI/ML models can implicitly address the issue on non-ideal hardware implementation, such as insertion loss imbalances, establishing a more accurate mapping for reciprocity-based acquisition than traditional calibration methods. </w:t>
      </w:r>
    </w:p>
    <w:p w14:paraId="6C9BB1B8" w14:textId="4E8EF764" w:rsidR="009705A2" w:rsidRDefault="3D92A436" w:rsidP="18AB1082">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In addition, to further mitigate the impact of fast channel variation in high-mobility environments, the design can </w:t>
      </w:r>
      <w:r w:rsidRPr="3D92A436">
        <w:rPr>
          <w:rFonts w:eastAsia="Times New Roman"/>
          <w:sz w:val="22"/>
          <w:szCs w:val="22"/>
        </w:rPr>
        <w:t>allow for the consideration of additional reference signals</w:t>
      </w:r>
      <w:r w:rsidRPr="3D92A436">
        <w:rPr>
          <w:rFonts w:eastAsia="맑은 고딕"/>
          <w:sz w:val="22"/>
          <w:szCs w:val="22"/>
          <w:lang w:eastAsia="ko-KR"/>
        </w:rPr>
        <w:t>. For example, by utilizing UL DMRS measurements from PUSCH as assistance information, the AI/ML model can track channel variations between sparse SRS occasions. This kind of consideration between different reference signals can ensure CSI timeliness without increasing the dedicated SRS overhead especially for high-speed 6G applications like UAV or vehicular communications.</w:t>
      </w:r>
    </w:p>
    <w:p w14:paraId="03799B91" w14:textId="77777777" w:rsidR="00646867" w:rsidRDefault="00646867" w:rsidP="00DC2DD1">
      <w:pPr>
        <w:spacing w:after="0" w:line="276" w:lineRule="auto"/>
        <w:ind w:firstLineChars="100" w:firstLine="220"/>
        <w:jc w:val="both"/>
        <w:rPr>
          <w:rFonts w:eastAsia="맑은 고딕"/>
          <w:sz w:val="22"/>
          <w:szCs w:val="22"/>
          <w:lang w:eastAsia="ko-KR"/>
        </w:rPr>
      </w:pPr>
    </w:p>
    <w:p w14:paraId="737AD080" w14:textId="45A30E41" w:rsidR="00646867" w:rsidRDefault="3D92A436" w:rsidP="00646867">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#2: For AI/ML-based SRS design for 6G, consider NW-side channel reconstruction that utilizes at least sparse SRS patterns to maximize spectral efficiency in 6G MIMO.</w:t>
      </w:r>
    </w:p>
    <w:p w14:paraId="368FA03D" w14:textId="77777777" w:rsidR="00646867" w:rsidRDefault="00646867" w:rsidP="00DC2DD1">
      <w:pPr>
        <w:spacing w:after="0" w:line="276" w:lineRule="auto"/>
        <w:ind w:firstLineChars="100" w:firstLine="220"/>
        <w:jc w:val="both"/>
        <w:rPr>
          <w:rFonts w:eastAsia="맑은 고딕"/>
          <w:sz w:val="22"/>
          <w:szCs w:val="22"/>
          <w:lang w:eastAsia="ko-KR"/>
        </w:rPr>
      </w:pPr>
    </w:p>
    <w:p w14:paraId="7C1AF263" w14:textId="05742732" w:rsidR="00BE7CCA"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 xml:space="preserve">To consider AI/ML-based SRS enhancement into normative 6G feature, it requires the clarification of several technical details to ensure multi-vendor interoperability. The mechanism for port selection must be defined, specifically whether active port subsets are configured semi-statically via RRC or dynamically via DCI, while accounting for UE port coherency capabilities (e.g., non-coherent, partial, or full-coherent). In addition, for UL DMRS-assisted SRS estimation, a consistent association between UL DMRS and SRS ports to ensure the model extracts aligned features to mitigate fast channel variations. </w:t>
      </w:r>
    </w:p>
    <w:p w14:paraId="7620F62E" w14:textId="56B63885" w:rsidR="00D53E31" w:rsidRDefault="3D92A436" w:rsidP="00DC2DD1">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lastRenderedPageBreak/>
        <w:t xml:space="preserve">The potential specification impacts include the extension of RRC parameters to support higher sparsity levels (e.g., Comb-12 or higher) and the introduction of partial port bitmaps or selection indicators. To align training and inference environments between the UE and NW, 6G should consider such an </w:t>
      </w:r>
      <w:proofErr w:type="gramStart"/>
      <w:r w:rsidRPr="3D92A436">
        <w:rPr>
          <w:rFonts w:eastAsia="맑은 고딕"/>
          <w:sz w:val="22"/>
          <w:szCs w:val="22"/>
          <w:lang w:eastAsia="ko-KR"/>
        </w:rPr>
        <w:t>association  ensuring</w:t>
      </w:r>
      <w:proofErr w:type="gramEnd"/>
      <w:r w:rsidRPr="3D92A436">
        <w:rPr>
          <w:rFonts w:eastAsia="맑은 고딕"/>
          <w:sz w:val="22"/>
          <w:szCs w:val="22"/>
          <w:lang w:eastAsia="ko-KR"/>
        </w:rPr>
        <w:t xml:space="preserve"> the AI/ML model is matched to the specific multi-path environment or hardware configuration. Also, procedures for ground truth data collection are necessary to consider, defining how and when a UE should transmit full-density SRS to support NW-side model training.</w:t>
      </w:r>
    </w:p>
    <w:p w14:paraId="4D820B30" w14:textId="3C83D5CF" w:rsidR="00265670" w:rsidRDefault="3D92A436" w:rsidP="3D92A436">
      <w:pPr>
        <w:spacing w:after="0" w:line="276" w:lineRule="auto"/>
        <w:ind w:firstLineChars="100" w:firstLine="220"/>
        <w:jc w:val="both"/>
        <w:rPr>
          <w:rFonts w:eastAsia="맑은 고딕"/>
          <w:sz w:val="22"/>
          <w:szCs w:val="22"/>
          <w:lang w:eastAsia="ko-KR"/>
        </w:rPr>
      </w:pPr>
      <w:r w:rsidRPr="3D92A436">
        <w:rPr>
          <w:rFonts w:eastAsia="맑은 고딕"/>
          <w:sz w:val="22"/>
          <w:szCs w:val="22"/>
          <w:lang w:eastAsia="ko-KR"/>
        </w:rPr>
        <w:t>Finally, 6G must establish a comprehensive life cycle management (LCM) framework for SRS. This framework includes real-time performance monitoring via KPIs like NMSE and/or SGCS and define a robust fallback procedure to the non-AI/ML-based SRS if the AI-reconstructed CSI accuracy drops below a reliable threshold. This ensures that the sounding system maintains high reliability across diverse deployment scenario (</w:t>
      </w:r>
      <w:proofErr w:type="spellStart"/>
      <w:r w:rsidRPr="3D92A436">
        <w:rPr>
          <w:rFonts w:eastAsia="맑은 고딕"/>
          <w:sz w:val="22"/>
          <w:szCs w:val="22"/>
          <w:lang w:eastAsia="ko-KR"/>
        </w:rPr>
        <w:t>UMa</w:t>
      </w:r>
      <w:proofErr w:type="spellEnd"/>
      <w:r w:rsidRPr="3D92A436">
        <w:rPr>
          <w:rFonts w:eastAsia="맑은 고딕"/>
          <w:sz w:val="22"/>
          <w:szCs w:val="22"/>
          <w:lang w:eastAsia="ko-KR"/>
        </w:rPr>
        <w:t xml:space="preserve"> and </w:t>
      </w:r>
      <w:proofErr w:type="spellStart"/>
      <w:r w:rsidRPr="3D92A436">
        <w:rPr>
          <w:rFonts w:eastAsia="맑은 고딕"/>
          <w:sz w:val="22"/>
          <w:szCs w:val="22"/>
          <w:lang w:eastAsia="ko-KR"/>
        </w:rPr>
        <w:t>UMi</w:t>
      </w:r>
      <w:proofErr w:type="spellEnd"/>
      <w:r w:rsidRPr="3D92A436">
        <w:rPr>
          <w:rFonts w:eastAsia="맑은 고딕"/>
          <w:sz w:val="22"/>
          <w:szCs w:val="22"/>
          <w:lang w:eastAsia="ko-KR"/>
        </w:rPr>
        <w:t>) and mobility levels (up to 120km/h).</w:t>
      </w:r>
    </w:p>
    <w:p w14:paraId="3EF9CE0C" w14:textId="77777777" w:rsidR="00D53E31" w:rsidRDefault="00D53E31" w:rsidP="00D53E31">
      <w:pPr>
        <w:spacing w:after="0" w:line="276" w:lineRule="auto"/>
        <w:jc w:val="both"/>
        <w:rPr>
          <w:rFonts w:eastAsia="맑은 고딕"/>
          <w:sz w:val="22"/>
          <w:szCs w:val="22"/>
          <w:lang w:eastAsia="ko-KR"/>
        </w:rPr>
      </w:pPr>
    </w:p>
    <w:p w14:paraId="3F84D066" w14:textId="51824C76" w:rsidR="00D53E31" w:rsidRDefault="00D53E31" w:rsidP="00D53E31">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3</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proofErr w:type="gramStart"/>
      <w:r>
        <w:rPr>
          <w:rFonts w:eastAsia="맑은 고딕" w:hint="eastAsia"/>
          <w:b/>
          <w:bCs/>
          <w:sz w:val="22"/>
          <w:szCs w:val="22"/>
          <w:lang w:eastAsia="ko-KR"/>
        </w:rPr>
        <w:t>to define</w:t>
      </w:r>
      <w:proofErr w:type="gramEnd"/>
      <w:r>
        <w:rPr>
          <w:rFonts w:eastAsia="맑은 고딕" w:hint="eastAsia"/>
          <w:b/>
          <w:bCs/>
          <w:sz w:val="22"/>
          <w:szCs w:val="22"/>
          <w:lang w:eastAsia="ko-KR"/>
        </w:rPr>
        <w:t xml:space="preserve"> port association signalling and LCM framework that includes standardized monitoring KPIs and fallback procedures to Rel-20 baselines.</w:t>
      </w:r>
    </w:p>
    <w:p w14:paraId="1394F0F4" w14:textId="77777777" w:rsidR="00904D9E" w:rsidRPr="009705A2" w:rsidRDefault="00904D9E" w:rsidP="00DC2DD1">
      <w:pPr>
        <w:spacing w:after="0" w:line="276" w:lineRule="auto"/>
        <w:ind w:firstLineChars="100" w:firstLine="200"/>
        <w:jc w:val="both"/>
        <w:rPr>
          <w:rFonts w:eastAsia="맑은 고딕"/>
          <w:lang w:eastAsia="ko-KR"/>
        </w:rPr>
      </w:pPr>
    </w:p>
    <w:bookmarkEnd w:id="1"/>
    <w:bookmarkEnd w:id="2"/>
    <w:bookmarkEnd w:id="3"/>
    <w:bookmarkEnd w:id="4"/>
    <w:bookmarkEnd w:id="5"/>
    <w:bookmarkEnd w:id="6"/>
    <w:p w14:paraId="061DFF3B" w14:textId="114400D5" w:rsidR="00931B76" w:rsidRPr="003A74B1" w:rsidRDefault="00931B76" w:rsidP="00D31AF1">
      <w:pPr>
        <w:pStyle w:val="Heading1"/>
        <w:rPr>
          <w:lang w:val="en-US"/>
        </w:rPr>
      </w:pPr>
      <w:r w:rsidRPr="003A74B1">
        <w:rPr>
          <w:lang w:val="en-US"/>
        </w:rPr>
        <w:t>Conclusions</w:t>
      </w:r>
    </w:p>
    <w:p w14:paraId="7DF6A1B3" w14:textId="118F6CFE" w:rsidR="00C408ED" w:rsidRDefault="00403276" w:rsidP="00D31AF1">
      <w:pPr>
        <w:rPr>
          <w:rFonts w:eastAsia="맑은 고딕"/>
          <w:sz w:val="22"/>
          <w:szCs w:val="22"/>
          <w:lang w:val="en-US" w:eastAsia="ko-KR"/>
        </w:rPr>
      </w:pPr>
      <w:r w:rsidRPr="00EC1D6D">
        <w:rPr>
          <w:sz w:val="22"/>
          <w:szCs w:val="22"/>
          <w:lang w:val="en-US"/>
        </w:rPr>
        <w:t>In this paper</w:t>
      </w:r>
      <w:r w:rsidR="00DF2B95">
        <w:rPr>
          <w:rFonts w:eastAsia="맑은 고딕" w:hint="eastAsia"/>
          <w:sz w:val="22"/>
          <w:szCs w:val="22"/>
          <w:lang w:val="en-US" w:eastAsia="ko-KR"/>
        </w:rPr>
        <w:t>,</w:t>
      </w:r>
      <w:r w:rsidRPr="00EC1D6D">
        <w:rPr>
          <w:sz w:val="22"/>
          <w:szCs w:val="22"/>
          <w:lang w:val="en-US"/>
        </w:rPr>
        <w:t xml:space="preserve"> we make the following proposals: </w:t>
      </w:r>
    </w:p>
    <w:p w14:paraId="6BD8C2B8" w14:textId="77777777" w:rsidR="00AB09C8" w:rsidRDefault="00AB09C8" w:rsidP="00AB09C8">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 xml:space="preserve">#1: For 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Rel-20</w:t>
      </w:r>
      <w:r>
        <w:rPr>
          <w:rFonts w:eastAsia="맑은 고딕" w:hint="eastAsia"/>
          <w:b/>
          <w:bCs/>
          <w:sz w:val="22"/>
          <w:szCs w:val="22"/>
          <w:lang w:eastAsia="ko-KR"/>
        </w:rPr>
        <w:t xml:space="preserve"> NR</w:t>
      </w:r>
      <w:r w:rsidRPr="00865F7A">
        <w:rPr>
          <w:rFonts w:eastAsia="맑은 고딕" w:hint="eastAsia"/>
          <w:b/>
          <w:bCs/>
          <w:sz w:val="22"/>
          <w:szCs w:val="22"/>
          <w:lang w:eastAsia="ko-KR"/>
        </w:rPr>
        <w:t xml:space="preserve"> </w:t>
      </w:r>
      <w:r>
        <w:rPr>
          <w:rFonts w:eastAsia="맑은 고딕" w:hint="eastAsia"/>
          <w:b/>
          <w:bCs/>
          <w:sz w:val="22"/>
          <w:szCs w:val="22"/>
          <w:lang w:eastAsia="ko-KR"/>
        </w:rPr>
        <w:t>SRS design</w:t>
      </w:r>
      <w:r w:rsidRPr="00865F7A">
        <w:rPr>
          <w:rFonts w:eastAsia="맑은 고딕" w:hint="eastAsia"/>
          <w:b/>
          <w:bCs/>
          <w:sz w:val="22"/>
          <w:szCs w:val="22"/>
          <w:lang w:eastAsia="ko-KR"/>
        </w:rPr>
        <w:t xml:space="preserve"> (</w:t>
      </w:r>
      <w:r>
        <w:rPr>
          <w:rFonts w:eastAsia="맑은 고딕" w:hint="eastAsia"/>
          <w:b/>
          <w:bCs/>
          <w:sz w:val="22"/>
          <w:szCs w:val="22"/>
          <w:lang w:eastAsia="ko-KR"/>
        </w:rPr>
        <w:t xml:space="preserve">e.g., </w:t>
      </w:r>
      <w:r w:rsidRPr="00865F7A">
        <w:rPr>
          <w:rFonts w:eastAsia="맑은 고딕" w:hint="eastAsia"/>
          <w:b/>
          <w:bCs/>
          <w:sz w:val="22"/>
          <w:szCs w:val="22"/>
          <w:lang w:eastAsia="ko-KR"/>
        </w:rPr>
        <w:t>multiple starting positions, cross-slot SRS) as a baseline for 6G SRS design to ensure operability and provide reliable labels for AI/ML data collection and training.</w:t>
      </w:r>
    </w:p>
    <w:p w14:paraId="6F450B7C" w14:textId="77777777" w:rsidR="00AB09C8" w:rsidRDefault="00AB09C8" w:rsidP="00AB09C8">
      <w:pPr>
        <w:spacing w:after="0" w:line="276" w:lineRule="auto"/>
        <w:jc w:val="both"/>
        <w:rPr>
          <w:rFonts w:eastAsia="맑은 고딕"/>
          <w:b/>
          <w:bCs/>
          <w:sz w:val="22"/>
          <w:szCs w:val="22"/>
          <w:lang w:eastAsia="ko-KR"/>
        </w:rPr>
      </w:pPr>
      <w:r w:rsidRPr="3D92A436">
        <w:rPr>
          <w:rFonts w:eastAsia="맑은 고딕"/>
          <w:b/>
          <w:bCs/>
          <w:sz w:val="22"/>
          <w:szCs w:val="22"/>
          <w:lang w:eastAsia="ko-KR"/>
        </w:rPr>
        <w:t>Proposal #2: For AI/ML-based SRS design for 6G, consider NW-side channel reconstruction that utilizes at least sparse SRS patterns to maximize spectral efficiency in 6G MIMO.</w:t>
      </w:r>
    </w:p>
    <w:p w14:paraId="2C8460BB" w14:textId="77777777" w:rsidR="00AB09C8" w:rsidRDefault="00AB09C8" w:rsidP="00AB09C8">
      <w:pPr>
        <w:spacing w:after="0" w:line="276" w:lineRule="auto"/>
        <w:jc w:val="both"/>
        <w:rPr>
          <w:rFonts w:eastAsia="맑은 고딕"/>
          <w:b/>
          <w:bCs/>
          <w:sz w:val="22"/>
          <w:szCs w:val="22"/>
          <w:lang w:eastAsia="ko-KR"/>
        </w:rPr>
      </w:pPr>
      <w:r w:rsidRPr="00865F7A">
        <w:rPr>
          <w:rFonts w:eastAsia="맑은 고딕" w:hint="eastAsia"/>
          <w:b/>
          <w:bCs/>
          <w:sz w:val="22"/>
          <w:szCs w:val="22"/>
          <w:lang w:eastAsia="ko-KR"/>
        </w:rPr>
        <w:t>Proposal</w:t>
      </w:r>
      <w:r>
        <w:rPr>
          <w:rFonts w:eastAsia="맑은 고딕" w:hint="eastAsia"/>
          <w:b/>
          <w:bCs/>
          <w:sz w:val="22"/>
          <w:szCs w:val="22"/>
          <w:lang w:eastAsia="ko-KR"/>
        </w:rPr>
        <w:t xml:space="preserve"> </w:t>
      </w:r>
      <w:r w:rsidRPr="00865F7A">
        <w:rPr>
          <w:rFonts w:eastAsia="맑은 고딕" w:hint="eastAsia"/>
          <w:b/>
          <w:bCs/>
          <w:sz w:val="22"/>
          <w:szCs w:val="22"/>
          <w:lang w:eastAsia="ko-KR"/>
        </w:rPr>
        <w:t>#</w:t>
      </w:r>
      <w:r>
        <w:rPr>
          <w:rFonts w:eastAsia="맑은 고딕" w:hint="eastAsia"/>
          <w:b/>
          <w:bCs/>
          <w:sz w:val="22"/>
          <w:szCs w:val="22"/>
          <w:lang w:eastAsia="ko-KR"/>
        </w:rPr>
        <w:t>3</w:t>
      </w:r>
      <w:r w:rsidRPr="00865F7A">
        <w:rPr>
          <w:rFonts w:eastAsia="맑은 고딕" w:hint="eastAsia"/>
          <w:b/>
          <w:bCs/>
          <w:sz w:val="22"/>
          <w:szCs w:val="22"/>
          <w:lang w:eastAsia="ko-KR"/>
        </w:rPr>
        <w:t xml:space="preserve">: For </w:t>
      </w:r>
      <w:r>
        <w:rPr>
          <w:rFonts w:eastAsia="맑은 고딕" w:hint="eastAsia"/>
          <w:b/>
          <w:bCs/>
          <w:sz w:val="22"/>
          <w:szCs w:val="22"/>
          <w:lang w:eastAsia="ko-KR"/>
        </w:rPr>
        <w:t xml:space="preserve">AI/ML-based </w:t>
      </w:r>
      <w:r w:rsidRPr="00865F7A">
        <w:rPr>
          <w:rFonts w:eastAsia="맑은 고딕" w:hint="eastAsia"/>
          <w:b/>
          <w:bCs/>
          <w:sz w:val="22"/>
          <w:szCs w:val="22"/>
          <w:lang w:eastAsia="ko-KR"/>
        </w:rPr>
        <w:t xml:space="preserve">SRS </w:t>
      </w:r>
      <w:r w:rsidRPr="00865F7A">
        <w:rPr>
          <w:rFonts w:eastAsia="맑은 고딕"/>
          <w:b/>
          <w:bCs/>
          <w:sz w:val="22"/>
          <w:szCs w:val="22"/>
          <w:lang w:eastAsia="ko-KR"/>
        </w:rPr>
        <w:t>design</w:t>
      </w:r>
      <w:r w:rsidRPr="00865F7A">
        <w:rPr>
          <w:rFonts w:eastAsia="맑은 고딕" w:hint="eastAsia"/>
          <w:b/>
          <w:bCs/>
          <w:sz w:val="22"/>
          <w:szCs w:val="22"/>
          <w:lang w:eastAsia="ko-KR"/>
        </w:rPr>
        <w:t xml:space="preserve"> for 6G, consider </w:t>
      </w:r>
      <w:proofErr w:type="gramStart"/>
      <w:r>
        <w:rPr>
          <w:rFonts w:eastAsia="맑은 고딕" w:hint="eastAsia"/>
          <w:b/>
          <w:bCs/>
          <w:sz w:val="22"/>
          <w:szCs w:val="22"/>
          <w:lang w:eastAsia="ko-KR"/>
        </w:rPr>
        <w:t>to define</w:t>
      </w:r>
      <w:proofErr w:type="gramEnd"/>
      <w:r>
        <w:rPr>
          <w:rFonts w:eastAsia="맑은 고딕" w:hint="eastAsia"/>
          <w:b/>
          <w:bCs/>
          <w:sz w:val="22"/>
          <w:szCs w:val="22"/>
          <w:lang w:eastAsia="ko-KR"/>
        </w:rPr>
        <w:t xml:space="preserve"> port association signalling and LCM framework that includes standardized monitoring KPIs and fallback procedures to Rel-20 baselines.</w:t>
      </w:r>
    </w:p>
    <w:sectPr w:rsidR="00AB09C8"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810F" w14:textId="77777777" w:rsidR="00462A96" w:rsidRDefault="00462A96">
      <w:r>
        <w:separator/>
      </w:r>
    </w:p>
  </w:endnote>
  <w:endnote w:type="continuationSeparator" w:id="0">
    <w:p w14:paraId="04B6627E" w14:textId="77777777" w:rsidR="00462A96" w:rsidRDefault="00462A96">
      <w:r>
        <w:continuationSeparator/>
      </w:r>
    </w:p>
  </w:endnote>
  <w:endnote w:type="continuationNotice" w:id="1">
    <w:p w14:paraId="1E542F40" w14:textId="77777777" w:rsidR="00462A96" w:rsidRDefault="0046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9DF5" w14:textId="77777777" w:rsidR="00462A96" w:rsidRDefault="00462A96">
      <w:r>
        <w:separator/>
      </w:r>
    </w:p>
  </w:footnote>
  <w:footnote w:type="continuationSeparator" w:id="0">
    <w:p w14:paraId="12D47EBC" w14:textId="77777777" w:rsidR="00462A96" w:rsidRDefault="00462A96">
      <w:r>
        <w:continuationSeparator/>
      </w:r>
    </w:p>
  </w:footnote>
  <w:footnote w:type="continuationNotice" w:id="1">
    <w:p w14:paraId="3676090B" w14:textId="77777777" w:rsidR="00462A96" w:rsidRDefault="00462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55F3A"/>
    <w:multiLevelType w:val="hybridMultilevel"/>
    <w:tmpl w:val="C73834E6"/>
    <w:lvl w:ilvl="0" w:tplc="F8D0FD44">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F7741F"/>
    <w:multiLevelType w:val="hybridMultilevel"/>
    <w:tmpl w:val="4A1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B44589D"/>
    <w:multiLevelType w:val="multilevel"/>
    <w:tmpl w:val="1BDAC4F6"/>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lang w:val="en-GB"/>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2"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5"/>
  </w:num>
  <w:num w:numId="2" w16cid:durableId="1399550110">
    <w:abstractNumId w:val="19"/>
  </w:num>
  <w:num w:numId="3" w16cid:durableId="1844465085">
    <w:abstractNumId w:val="31"/>
  </w:num>
  <w:num w:numId="4" w16cid:durableId="1089430903">
    <w:abstractNumId w:val="20"/>
  </w:num>
  <w:num w:numId="5" w16cid:durableId="415250413">
    <w:abstractNumId w:val="16"/>
  </w:num>
  <w:num w:numId="6" w16cid:durableId="1745105243">
    <w:abstractNumId w:val="3"/>
  </w:num>
  <w:num w:numId="7" w16cid:durableId="281886597">
    <w:abstractNumId w:val="28"/>
  </w:num>
  <w:num w:numId="8" w16cid:durableId="126827553">
    <w:abstractNumId w:val="13"/>
  </w:num>
  <w:num w:numId="9" w16cid:durableId="1734768043">
    <w:abstractNumId w:val="30"/>
  </w:num>
  <w:num w:numId="10" w16cid:durableId="457798413">
    <w:abstractNumId w:val="27"/>
  </w:num>
  <w:num w:numId="11" w16cid:durableId="1696927724">
    <w:abstractNumId w:val="15"/>
  </w:num>
  <w:num w:numId="12" w16cid:durableId="1357385142">
    <w:abstractNumId w:val="12"/>
  </w:num>
  <w:num w:numId="13" w16cid:durableId="894194636">
    <w:abstractNumId w:val="26"/>
  </w:num>
  <w:num w:numId="14" w16cid:durableId="1874994244">
    <w:abstractNumId w:val="1"/>
  </w:num>
  <w:num w:numId="15" w16cid:durableId="1750037597">
    <w:abstractNumId w:val="11"/>
  </w:num>
  <w:num w:numId="16" w16cid:durableId="1624383406">
    <w:abstractNumId w:val="10"/>
  </w:num>
  <w:num w:numId="17" w16cid:durableId="1952055347">
    <w:abstractNumId w:val="32"/>
  </w:num>
  <w:num w:numId="18" w16cid:durableId="1805734674">
    <w:abstractNumId w:val="6"/>
  </w:num>
  <w:num w:numId="19" w16cid:durableId="669985965">
    <w:abstractNumId w:val="9"/>
  </w:num>
  <w:num w:numId="20" w16cid:durableId="6422701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7"/>
  </w:num>
  <w:num w:numId="23" w16cid:durableId="503474570">
    <w:abstractNumId w:val="24"/>
  </w:num>
  <w:num w:numId="24" w16cid:durableId="10569301">
    <w:abstractNumId w:val="25"/>
  </w:num>
  <w:num w:numId="25" w16cid:durableId="1515420346">
    <w:abstractNumId w:val="0"/>
  </w:num>
  <w:num w:numId="26" w16cid:durableId="2087459430">
    <w:abstractNumId w:val="22"/>
  </w:num>
  <w:num w:numId="27" w16cid:durableId="420300185">
    <w:abstractNumId w:val="21"/>
  </w:num>
  <w:num w:numId="28" w16cid:durableId="44105837">
    <w:abstractNumId w:val="4"/>
  </w:num>
  <w:num w:numId="29" w16cid:durableId="1908108597">
    <w:abstractNumId w:val="14"/>
  </w:num>
  <w:num w:numId="30" w16cid:durableId="1693409804">
    <w:abstractNumId w:val="23"/>
  </w:num>
  <w:num w:numId="31" w16cid:durableId="2090885319">
    <w:abstractNumId w:val="7"/>
  </w:num>
  <w:num w:numId="32" w16cid:durableId="1763188333">
    <w:abstractNumId w:val="2"/>
  </w:num>
  <w:num w:numId="33" w16cid:durableId="124618576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3936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766686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5884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4788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239208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068"/>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89C"/>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DE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808"/>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6E7"/>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670"/>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80F"/>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8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7F4"/>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867"/>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396"/>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1D7"/>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8CB"/>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DCD"/>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5F7A"/>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8C1"/>
    <w:rsid w:val="008E0976"/>
    <w:rsid w:val="008E0A67"/>
    <w:rsid w:val="008E0C40"/>
    <w:rsid w:val="008E0EAE"/>
    <w:rsid w:val="008E0F52"/>
    <w:rsid w:val="008E0F90"/>
    <w:rsid w:val="008E13B1"/>
    <w:rsid w:val="008E13F3"/>
    <w:rsid w:val="008E1506"/>
    <w:rsid w:val="008E15EC"/>
    <w:rsid w:val="008E166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D9E"/>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0923"/>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966"/>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5F"/>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2"/>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4E1"/>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311"/>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9C8"/>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105"/>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4FD"/>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CCA"/>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CFC"/>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3E31"/>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0E30"/>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2B95"/>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AC2"/>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2A"/>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DCD"/>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D82"/>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B68"/>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AB1082"/>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D299F3"/>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2A436"/>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383ABF"/>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9E7742"/>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53CED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TotalTime>
  <Pages>5</Pages>
  <Words>2003</Words>
  <Characters>11836</Characters>
  <Application>Microsoft Office Word</Application>
  <DocSecurity>0</DocSecurity>
  <Lines>98</Lines>
  <Paragraphs>27</Paragraphs>
  <ScaleCrop>false</ScaleCrop>
  <Manager/>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197</cp:revision>
  <cp:lastPrinted>2019-05-01T13:45:00Z</cp:lastPrinted>
  <dcterms:created xsi:type="dcterms:W3CDTF">2025-08-14T13:52:00Z</dcterms:created>
  <dcterms:modified xsi:type="dcterms:W3CDTF">2026-01-29T20:07:00Z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